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1174C" w14:textId="1FC46B8F" w:rsidR="00D72E13" w:rsidRPr="00843145" w:rsidRDefault="00943FA7">
      <w:pPr>
        <w:jc w:val="center"/>
      </w:pPr>
      <w:bookmarkStart w:id="0" w:name="0-heading-nodeId--245097714"/>
      <w:r w:rsidRPr="00843145">
        <w:rPr>
          <w:b/>
          <w:color w:val="000000"/>
        </w:rPr>
        <w:t xml:space="preserve">OPPOSITION </w:t>
      </w:r>
      <w:proofErr w:type="spellStart"/>
      <w:r w:rsidRPr="00843145">
        <w:rPr>
          <w:b/>
          <w:color w:val="000000"/>
        </w:rPr>
        <w:t>Nо</w:t>
      </w:r>
      <w:proofErr w:type="spellEnd"/>
      <w:r w:rsidRPr="00843145">
        <w:rPr>
          <w:b/>
          <w:color w:val="000000"/>
        </w:rPr>
        <w:t> B 3 227 351</w:t>
      </w:r>
    </w:p>
    <w:p w14:paraId="116792C2" w14:textId="4F14506F" w:rsidR="00D72E13" w:rsidRPr="00843145" w:rsidRDefault="00D72E13">
      <w:pPr>
        <w:jc w:val="center"/>
      </w:pPr>
    </w:p>
    <w:p w14:paraId="4D75CF47" w14:textId="5B4729B2" w:rsidR="00D72E13" w:rsidRPr="00843145" w:rsidRDefault="00943FA7">
      <w:pPr>
        <w:jc w:val="both"/>
      </w:pPr>
      <w:r w:rsidRPr="00843145">
        <w:rPr>
          <w:b/>
          <w:color w:val="000000"/>
        </w:rPr>
        <w:t xml:space="preserve">Fendi </w:t>
      </w:r>
      <w:proofErr w:type="spellStart"/>
      <w:r w:rsidR="007E3B7B" w:rsidRPr="00843145">
        <w:rPr>
          <w:b/>
          <w:color w:val="000000"/>
        </w:rPr>
        <w:t>s.r.l</w:t>
      </w:r>
      <w:proofErr w:type="spellEnd"/>
      <w:r w:rsidRPr="00843145">
        <w:rPr>
          <w:b/>
          <w:color w:val="000000"/>
        </w:rPr>
        <w:t>.</w:t>
      </w:r>
      <w:r w:rsidRPr="00843145">
        <w:rPr>
          <w:color w:val="000000"/>
        </w:rPr>
        <w:t>,</w:t>
      </w:r>
      <w:r w:rsidR="00686E16" w:rsidRPr="00843145">
        <w:rPr>
          <w:color w:val="000000"/>
        </w:rPr>
        <w:t xml:space="preserve"> </w:t>
      </w:r>
      <w:r w:rsidRPr="00843145">
        <w:rPr>
          <w:color w:val="000000"/>
        </w:rPr>
        <w:t xml:space="preserve">Palazzo </w:t>
      </w:r>
      <w:proofErr w:type="spellStart"/>
      <w:r w:rsidRPr="00843145">
        <w:rPr>
          <w:color w:val="000000"/>
        </w:rPr>
        <w:t>della</w:t>
      </w:r>
      <w:proofErr w:type="spellEnd"/>
      <w:r w:rsidRPr="00843145">
        <w:rPr>
          <w:color w:val="000000"/>
        </w:rPr>
        <w:t xml:space="preserve"> Civiltà </w:t>
      </w:r>
      <w:proofErr w:type="spellStart"/>
      <w:r w:rsidRPr="00843145">
        <w:rPr>
          <w:color w:val="000000"/>
        </w:rPr>
        <w:t>Italiana</w:t>
      </w:r>
      <w:proofErr w:type="spellEnd"/>
      <w:r w:rsidRPr="00843145">
        <w:rPr>
          <w:color w:val="000000"/>
        </w:rPr>
        <w:t xml:space="preserve">, Quadrato </w:t>
      </w:r>
      <w:proofErr w:type="spellStart"/>
      <w:r w:rsidRPr="00843145">
        <w:rPr>
          <w:color w:val="000000"/>
        </w:rPr>
        <w:t>della</w:t>
      </w:r>
      <w:proofErr w:type="spellEnd"/>
      <w:r w:rsidRPr="00843145">
        <w:rPr>
          <w:color w:val="000000"/>
        </w:rPr>
        <w:t xml:space="preserve"> Concordia, 3, 00144 </w:t>
      </w:r>
      <w:r w:rsidR="00686E16" w:rsidRPr="00843145">
        <w:rPr>
          <w:color w:val="000000"/>
        </w:rPr>
        <w:t>Rome</w:t>
      </w:r>
      <w:r w:rsidRPr="00843145">
        <w:rPr>
          <w:color w:val="000000"/>
        </w:rPr>
        <w:t>, Italy (opponent), represented by</w:t>
      </w:r>
      <w:r w:rsidR="00686E16" w:rsidRPr="00843145">
        <w:rPr>
          <w:color w:val="000000"/>
        </w:rPr>
        <w:t xml:space="preserve"> </w:t>
      </w:r>
      <w:r w:rsidRPr="00843145">
        <w:rPr>
          <w:b/>
          <w:color w:val="000000"/>
        </w:rPr>
        <w:t xml:space="preserve">Società </w:t>
      </w:r>
      <w:proofErr w:type="spellStart"/>
      <w:r w:rsidRPr="00843145">
        <w:rPr>
          <w:b/>
          <w:color w:val="000000"/>
        </w:rPr>
        <w:t>Italiana</w:t>
      </w:r>
      <w:proofErr w:type="spellEnd"/>
      <w:r w:rsidRPr="00843145">
        <w:rPr>
          <w:b/>
          <w:color w:val="000000"/>
        </w:rPr>
        <w:t xml:space="preserve"> Brevetti S.P.A.</w:t>
      </w:r>
      <w:r w:rsidRPr="00843145">
        <w:rPr>
          <w:color w:val="000000"/>
        </w:rPr>
        <w:t xml:space="preserve">, Corso </w:t>
      </w:r>
      <w:proofErr w:type="spellStart"/>
      <w:r w:rsidRPr="00843145">
        <w:rPr>
          <w:color w:val="000000"/>
        </w:rPr>
        <w:t>dei</w:t>
      </w:r>
      <w:proofErr w:type="spellEnd"/>
      <w:r w:rsidRPr="00843145">
        <w:rPr>
          <w:color w:val="000000"/>
        </w:rPr>
        <w:t xml:space="preserve"> Tintori, 25, 50122 Firenze, Italy (professional representative)</w:t>
      </w:r>
    </w:p>
    <w:p w14:paraId="3B9DB67A" w14:textId="09F068E7" w:rsidR="00D72E13" w:rsidRPr="00843145" w:rsidRDefault="00D72E13">
      <w:pPr>
        <w:jc w:val="both"/>
      </w:pPr>
    </w:p>
    <w:p w14:paraId="2C6E3E70" w14:textId="1AE2C992" w:rsidR="00D72E13" w:rsidRPr="00843145" w:rsidRDefault="00943FA7">
      <w:pPr>
        <w:jc w:val="center"/>
      </w:pPr>
      <w:r w:rsidRPr="00843145">
        <w:rPr>
          <w:color w:val="000000"/>
        </w:rPr>
        <w:t>a g a</w:t>
      </w:r>
      <w:r w:rsidR="00843145" w:rsidRPr="00843145">
        <w:rPr>
          <w:color w:val="000000"/>
        </w:rPr>
        <w:t xml:space="preserve"> </w:t>
      </w:r>
      <w:proofErr w:type="spellStart"/>
      <w:proofErr w:type="gramStart"/>
      <w:r w:rsidRPr="00843145">
        <w:rPr>
          <w:color w:val="000000"/>
        </w:rPr>
        <w:t>i</w:t>
      </w:r>
      <w:proofErr w:type="spellEnd"/>
      <w:r w:rsidR="00843145" w:rsidRPr="00843145">
        <w:rPr>
          <w:color w:val="000000"/>
        </w:rPr>
        <w:t xml:space="preserve"> </w:t>
      </w:r>
      <w:r w:rsidRPr="00843145">
        <w:rPr>
          <w:color w:val="000000"/>
        </w:rPr>
        <w:t>n</w:t>
      </w:r>
      <w:proofErr w:type="gramEnd"/>
      <w:r w:rsidRPr="00843145">
        <w:rPr>
          <w:color w:val="000000"/>
        </w:rPr>
        <w:t xml:space="preserve"> s t</w:t>
      </w:r>
    </w:p>
    <w:p w14:paraId="1C5E198B" w14:textId="66F52A53" w:rsidR="00D72E13" w:rsidRPr="00843145" w:rsidRDefault="00D72E13">
      <w:pPr>
        <w:jc w:val="center"/>
      </w:pPr>
    </w:p>
    <w:p w14:paraId="79EB6883" w14:textId="77777777" w:rsidR="00843145" w:rsidRPr="00843145" w:rsidRDefault="00943FA7">
      <w:pPr>
        <w:jc w:val="both"/>
      </w:pPr>
      <w:r w:rsidRPr="00843145">
        <w:rPr>
          <w:b/>
          <w:color w:val="000000"/>
        </w:rPr>
        <w:t xml:space="preserve">Europe Design </w:t>
      </w:r>
      <w:proofErr w:type="spellStart"/>
      <w:r w:rsidRPr="00843145">
        <w:rPr>
          <w:b/>
          <w:color w:val="000000"/>
        </w:rPr>
        <w:t>Center</w:t>
      </w:r>
      <w:proofErr w:type="spellEnd"/>
      <w:r w:rsidRPr="00843145">
        <w:rPr>
          <w:b/>
          <w:color w:val="000000"/>
        </w:rPr>
        <w:t xml:space="preserve"> S</w:t>
      </w:r>
      <w:r w:rsidR="007E3B7B" w:rsidRPr="00843145">
        <w:rPr>
          <w:b/>
          <w:color w:val="000000"/>
        </w:rPr>
        <w:t>AS</w:t>
      </w:r>
      <w:r w:rsidRPr="00843145">
        <w:rPr>
          <w:color w:val="000000"/>
        </w:rPr>
        <w:t xml:space="preserve">, 34 Avenue </w:t>
      </w:r>
      <w:r w:rsidR="007E3B7B" w:rsidRPr="00843145">
        <w:rPr>
          <w:color w:val="000000"/>
        </w:rPr>
        <w:t>d</w:t>
      </w:r>
      <w:r w:rsidRPr="00843145">
        <w:rPr>
          <w:color w:val="000000"/>
        </w:rPr>
        <w:t>es Champs-</w:t>
      </w:r>
      <w:r w:rsidR="007E3B7B" w:rsidRPr="00843145">
        <w:rPr>
          <w:color w:val="000000"/>
        </w:rPr>
        <w:t>E</w:t>
      </w:r>
      <w:r w:rsidRPr="00843145">
        <w:rPr>
          <w:color w:val="000000"/>
        </w:rPr>
        <w:t>lysees, 75008 Paris, France (applicant).</w:t>
      </w:r>
    </w:p>
    <w:p w14:paraId="1B53D5B0" w14:textId="57156B24" w:rsidR="00843145" w:rsidRPr="00843145" w:rsidRDefault="00843145">
      <w:pPr>
        <w:jc w:val="both"/>
      </w:pPr>
    </w:p>
    <w:p w14:paraId="6934B461" w14:textId="77777777" w:rsidR="00D72E13" w:rsidRPr="00843145" w:rsidRDefault="00843145">
      <w:r w:rsidRPr="00843145">
        <w:t>On 30/10/2025, the Opposition Division takes the following</w:t>
      </w:r>
    </w:p>
    <w:p w14:paraId="7A39741C" w14:textId="74BBC44B" w:rsidR="00D72E13" w:rsidRPr="00843145" w:rsidRDefault="00D72E13"/>
    <w:p w14:paraId="251BE7BC" w14:textId="77777777" w:rsidR="00D72E13" w:rsidRPr="00843145" w:rsidRDefault="00943FA7" w:rsidP="00686E16">
      <w:pPr>
        <w:spacing w:before="120"/>
        <w:jc w:val="center"/>
      </w:pPr>
      <w:r w:rsidRPr="00843145">
        <w:rPr>
          <w:b/>
          <w:color w:val="000000"/>
        </w:rPr>
        <w:t>DECISION:</w:t>
      </w:r>
    </w:p>
    <w:p w14:paraId="3A95E872" w14:textId="24A34FD7" w:rsidR="00D72E13" w:rsidRPr="00843145" w:rsidRDefault="00D72E13"/>
    <w:tbl>
      <w:tblPr>
        <w:tblW w:w="0" w:type="auto"/>
        <w:tblCellSpacing w:w="0" w:type="auto"/>
        <w:tblLook w:val="04A0" w:firstRow="1" w:lastRow="0" w:firstColumn="1" w:lastColumn="0" w:noHBand="0" w:noVBand="1"/>
      </w:tblPr>
      <w:tblGrid>
        <w:gridCol w:w="509"/>
        <w:gridCol w:w="8518"/>
      </w:tblGrid>
      <w:tr w:rsidR="00D72E13" w:rsidRPr="00843145" w14:paraId="45C1AA78" w14:textId="77777777" w:rsidTr="00686E16">
        <w:trPr>
          <w:trHeight w:val="30"/>
          <w:tblCellSpacing w:w="0" w:type="auto"/>
        </w:trPr>
        <w:tc>
          <w:tcPr>
            <w:tcW w:w="509" w:type="dxa"/>
            <w:tcMar>
              <w:top w:w="15" w:type="dxa"/>
              <w:left w:w="15" w:type="dxa"/>
              <w:bottom w:w="15" w:type="dxa"/>
              <w:right w:w="15" w:type="dxa"/>
            </w:tcMar>
          </w:tcPr>
          <w:p w14:paraId="28CABD0A" w14:textId="5CB8279E" w:rsidR="00D72E13" w:rsidRPr="00843145" w:rsidRDefault="00943FA7">
            <w:pPr>
              <w:jc w:val="both"/>
            </w:pPr>
            <w:bookmarkStart w:id="1" w:name="chk-paragraph-2-3_nodeId-858056212"/>
            <w:bookmarkEnd w:id="0"/>
            <w:r w:rsidRPr="00843145">
              <w:rPr>
                <w:b/>
                <w:color w:val="000000"/>
              </w:rPr>
              <w:t>1.</w:t>
            </w:r>
          </w:p>
        </w:tc>
        <w:tc>
          <w:tcPr>
            <w:tcW w:w="8518" w:type="dxa"/>
            <w:tcMar>
              <w:top w:w="15" w:type="dxa"/>
              <w:left w:w="15" w:type="dxa"/>
              <w:bottom w:w="15" w:type="dxa"/>
              <w:right w:w="15" w:type="dxa"/>
            </w:tcMar>
          </w:tcPr>
          <w:p w14:paraId="04C2F1C4" w14:textId="0E31B767" w:rsidR="00D72E13" w:rsidRPr="00843145" w:rsidRDefault="00943FA7">
            <w:pPr>
              <w:jc w:val="both"/>
            </w:pPr>
            <w:r w:rsidRPr="00843145">
              <w:rPr>
                <w:color w:val="000000"/>
              </w:rPr>
              <w:t>Opposition No</w:t>
            </w:r>
            <w:r w:rsidR="00843145" w:rsidRPr="00843145">
              <w:rPr>
                <w:color w:val="000000"/>
              </w:rPr>
              <w:t xml:space="preserve"> </w:t>
            </w:r>
            <w:r w:rsidRPr="00843145">
              <w:rPr>
                <w:color w:val="000000"/>
              </w:rPr>
              <w:t>B 3 227 351 is partially upheld, namely for the following contested goods and services:</w:t>
            </w:r>
          </w:p>
        </w:tc>
      </w:tr>
    </w:tbl>
    <w:p w14:paraId="31B59543" w14:textId="1FD4CC2A" w:rsidR="00D72E13" w:rsidRPr="00843145" w:rsidRDefault="00D72E13">
      <w:pPr>
        <w:jc w:val="both"/>
      </w:pPr>
    </w:p>
    <w:tbl>
      <w:tblPr>
        <w:tblW w:w="0" w:type="auto"/>
        <w:tblCellSpacing w:w="0" w:type="auto"/>
        <w:tblLook w:val="04A0" w:firstRow="1" w:lastRow="0" w:firstColumn="1" w:lastColumn="0" w:noHBand="0" w:noVBand="1"/>
      </w:tblPr>
      <w:tblGrid>
        <w:gridCol w:w="508"/>
        <w:gridCol w:w="8519"/>
      </w:tblGrid>
      <w:tr w:rsidR="00D72E13" w:rsidRPr="00843145" w14:paraId="01D2043E" w14:textId="77777777" w:rsidTr="00686E16">
        <w:trPr>
          <w:trHeight w:val="30"/>
          <w:tblCellSpacing w:w="0" w:type="auto"/>
        </w:trPr>
        <w:tc>
          <w:tcPr>
            <w:tcW w:w="508" w:type="dxa"/>
            <w:tcMar>
              <w:top w:w="15" w:type="dxa"/>
              <w:left w:w="15" w:type="dxa"/>
              <w:bottom w:w="15" w:type="dxa"/>
              <w:right w:w="15" w:type="dxa"/>
            </w:tcMar>
          </w:tcPr>
          <w:p w14:paraId="170C6733" w14:textId="5F89B0D6" w:rsidR="00D72E13" w:rsidRPr="00843145" w:rsidRDefault="00D72E13">
            <w:pPr>
              <w:jc w:val="both"/>
            </w:pPr>
          </w:p>
        </w:tc>
        <w:tc>
          <w:tcPr>
            <w:tcW w:w="8519" w:type="dxa"/>
            <w:tcMar>
              <w:top w:w="15" w:type="dxa"/>
              <w:left w:w="15" w:type="dxa"/>
              <w:bottom w:w="15" w:type="dxa"/>
              <w:right w:w="15" w:type="dxa"/>
            </w:tcMar>
          </w:tcPr>
          <w:p w14:paraId="51DFD2E3" w14:textId="029197A3" w:rsidR="00D72E13" w:rsidRPr="00843145" w:rsidRDefault="00943FA7" w:rsidP="00343712">
            <w:pPr>
              <w:pBdr>
                <w:left w:val="none" w:sz="0" w:space="30" w:color="auto"/>
              </w:pBdr>
              <w:ind w:left="331"/>
              <w:jc w:val="both"/>
            </w:pPr>
            <w:r w:rsidRPr="00843145">
              <w:rPr>
                <w:color w:val="000000"/>
              </w:rPr>
              <w:t>Class </w:t>
            </w:r>
            <w:r w:rsidR="00850C1C" w:rsidRPr="00843145">
              <w:rPr>
                <w:color w:val="000000"/>
              </w:rPr>
              <w:t>14</w:t>
            </w:r>
            <w:r w:rsidRPr="00843145">
              <w:rPr>
                <w:color w:val="000000"/>
              </w:rPr>
              <w:t>:</w:t>
            </w:r>
            <w:r w:rsidR="004255A1" w:rsidRPr="00843145">
              <w:rPr>
                <w:i/>
                <w:color w:val="000000"/>
              </w:rPr>
              <w:t xml:space="preserve"> Chronometric instruments; gemstones</w:t>
            </w:r>
            <w:r w:rsidR="00665F22" w:rsidRPr="00843145">
              <w:rPr>
                <w:i/>
                <w:color w:val="000000"/>
              </w:rPr>
              <w:t>, pearls</w:t>
            </w:r>
            <w:r w:rsidR="004255A1" w:rsidRPr="00843145">
              <w:rPr>
                <w:i/>
                <w:color w:val="000000"/>
              </w:rPr>
              <w:t xml:space="preserve"> and imitations thereof; jewellery; jewellery boxes and watch boxes.</w:t>
            </w:r>
          </w:p>
          <w:p w14:paraId="12AA339F" w14:textId="4051EB51" w:rsidR="00D72E13" w:rsidRPr="00843145" w:rsidRDefault="00D72E13" w:rsidP="00343712">
            <w:pPr>
              <w:ind w:left="331"/>
              <w:jc w:val="both"/>
            </w:pPr>
          </w:p>
          <w:p w14:paraId="268B167B" w14:textId="22D2B6A0" w:rsidR="00D72E13" w:rsidRPr="00843145" w:rsidRDefault="00943FA7" w:rsidP="00343712">
            <w:pPr>
              <w:pBdr>
                <w:left w:val="none" w:sz="0" w:space="30" w:color="auto"/>
              </w:pBdr>
              <w:ind w:left="331"/>
              <w:jc w:val="both"/>
            </w:pPr>
            <w:r w:rsidRPr="00843145">
              <w:rPr>
                <w:color w:val="000000"/>
              </w:rPr>
              <w:t>Class </w:t>
            </w:r>
            <w:r w:rsidR="0062686B" w:rsidRPr="00843145">
              <w:rPr>
                <w:color w:val="000000"/>
              </w:rPr>
              <w:t>18</w:t>
            </w:r>
            <w:r w:rsidRPr="00843145">
              <w:rPr>
                <w:color w:val="000000"/>
              </w:rPr>
              <w:t>:</w:t>
            </w:r>
            <w:r w:rsidR="0062686B" w:rsidRPr="00843145">
              <w:rPr>
                <w:color w:val="000000"/>
              </w:rPr>
              <w:t xml:space="preserve"> All the goods in this class.</w:t>
            </w:r>
          </w:p>
          <w:p w14:paraId="40EA3D9B" w14:textId="21BD59A5" w:rsidR="00D72E13" w:rsidRPr="00843145" w:rsidRDefault="00D72E13" w:rsidP="00343712">
            <w:pPr>
              <w:ind w:left="331"/>
              <w:jc w:val="both"/>
            </w:pPr>
          </w:p>
          <w:p w14:paraId="4BBC8905" w14:textId="1E51FDD2" w:rsidR="0062686B" w:rsidRPr="00843145" w:rsidRDefault="0062686B" w:rsidP="00343712">
            <w:pPr>
              <w:pBdr>
                <w:left w:val="none" w:sz="0" w:space="30" w:color="auto"/>
              </w:pBdr>
              <w:ind w:left="331"/>
              <w:jc w:val="both"/>
            </w:pPr>
            <w:r w:rsidRPr="00843145">
              <w:rPr>
                <w:color w:val="000000"/>
              </w:rPr>
              <w:t>Class 25: All the goods in this class.</w:t>
            </w:r>
          </w:p>
          <w:p w14:paraId="1D5EEA16" w14:textId="77777777" w:rsidR="0062686B" w:rsidRPr="00843145" w:rsidRDefault="0062686B" w:rsidP="00343712">
            <w:pPr>
              <w:pBdr>
                <w:left w:val="none" w:sz="0" w:space="30" w:color="auto"/>
              </w:pBdr>
              <w:ind w:left="331"/>
              <w:jc w:val="both"/>
              <w:rPr>
                <w:color w:val="000000"/>
              </w:rPr>
            </w:pPr>
          </w:p>
          <w:p w14:paraId="4A860CC0" w14:textId="26218271" w:rsidR="0062686B" w:rsidRPr="00843145" w:rsidRDefault="0062686B" w:rsidP="00343712">
            <w:pPr>
              <w:pBdr>
                <w:left w:val="none" w:sz="0" w:space="30" w:color="auto"/>
              </w:pBdr>
              <w:ind w:left="331"/>
              <w:jc w:val="both"/>
            </w:pPr>
            <w:r w:rsidRPr="00843145">
              <w:rPr>
                <w:color w:val="000000"/>
              </w:rPr>
              <w:t>Class 35: All the services in this class.</w:t>
            </w:r>
          </w:p>
          <w:p w14:paraId="7846ADCA" w14:textId="77777777" w:rsidR="0062686B" w:rsidRPr="00843145" w:rsidRDefault="0062686B" w:rsidP="00343712">
            <w:pPr>
              <w:pBdr>
                <w:left w:val="none" w:sz="0" w:space="30" w:color="auto"/>
              </w:pBdr>
              <w:ind w:left="331"/>
              <w:jc w:val="both"/>
              <w:rPr>
                <w:color w:val="000000"/>
              </w:rPr>
            </w:pPr>
          </w:p>
          <w:p w14:paraId="754A43BD" w14:textId="06C3F283" w:rsidR="00D72E13" w:rsidRPr="00843145" w:rsidRDefault="00943FA7" w:rsidP="00343712">
            <w:pPr>
              <w:pBdr>
                <w:left w:val="none" w:sz="0" w:space="30" w:color="auto"/>
              </w:pBdr>
              <w:ind w:left="331"/>
              <w:jc w:val="both"/>
            </w:pPr>
            <w:r w:rsidRPr="00843145">
              <w:rPr>
                <w:color w:val="000000"/>
              </w:rPr>
              <w:t>Class </w:t>
            </w:r>
            <w:r w:rsidR="0062686B" w:rsidRPr="00843145">
              <w:rPr>
                <w:color w:val="000000"/>
              </w:rPr>
              <w:t>42</w:t>
            </w:r>
            <w:r w:rsidRPr="00843145">
              <w:rPr>
                <w:color w:val="000000"/>
              </w:rPr>
              <w:t>:</w:t>
            </w:r>
            <w:r w:rsidR="0062686B" w:rsidRPr="00843145">
              <w:t xml:space="preserve"> </w:t>
            </w:r>
            <w:r w:rsidR="0062686B" w:rsidRPr="00843145">
              <w:rPr>
                <w:color w:val="000000"/>
              </w:rPr>
              <w:t>All the services in this class.</w:t>
            </w:r>
          </w:p>
          <w:p w14:paraId="3D15A119" w14:textId="77777777" w:rsidR="00D72E13" w:rsidRPr="00843145" w:rsidRDefault="00D72E13">
            <w:pPr>
              <w:ind w:left="15"/>
              <w:jc w:val="both"/>
              <w:rPr>
                <w:shadow/>
              </w:rPr>
            </w:pPr>
          </w:p>
        </w:tc>
      </w:tr>
      <w:tr w:rsidR="00D72E13" w:rsidRPr="00843145" w14:paraId="481FF801" w14:textId="77777777" w:rsidTr="00686E16">
        <w:trPr>
          <w:trHeight w:val="30"/>
          <w:tblCellSpacing w:w="0" w:type="auto"/>
        </w:trPr>
        <w:tc>
          <w:tcPr>
            <w:tcW w:w="508" w:type="dxa"/>
            <w:tcMar>
              <w:top w:w="15" w:type="dxa"/>
              <w:left w:w="15" w:type="dxa"/>
              <w:bottom w:w="15" w:type="dxa"/>
              <w:right w:w="15" w:type="dxa"/>
            </w:tcMar>
          </w:tcPr>
          <w:p w14:paraId="70F96EED" w14:textId="37BBB818" w:rsidR="00D72E13" w:rsidRPr="00843145" w:rsidRDefault="00943FA7">
            <w:pPr>
              <w:jc w:val="both"/>
            </w:pPr>
            <w:bookmarkStart w:id="2" w:name="chk-paragraph-2-3-1_nodeId--488033705"/>
            <w:bookmarkEnd w:id="1"/>
            <w:r w:rsidRPr="00843145">
              <w:rPr>
                <w:b/>
                <w:color w:val="000000"/>
              </w:rPr>
              <w:t>2.</w:t>
            </w:r>
          </w:p>
        </w:tc>
        <w:tc>
          <w:tcPr>
            <w:tcW w:w="8519" w:type="dxa"/>
            <w:tcMar>
              <w:top w:w="15" w:type="dxa"/>
              <w:left w:w="15" w:type="dxa"/>
              <w:bottom w:w="15" w:type="dxa"/>
              <w:right w:w="15" w:type="dxa"/>
            </w:tcMar>
          </w:tcPr>
          <w:p w14:paraId="05F2498A" w14:textId="3185DF9A" w:rsidR="00D72E13" w:rsidRPr="00843145" w:rsidRDefault="00943FA7" w:rsidP="00686E16">
            <w:pPr>
              <w:ind w:left="15"/>
              <w:jc w:val="both"/>
              <w:rPr>
                <w:color w:val="000000"/>
              </w:rPr>
            </w:pPr>
            <w:r w:rsidRPr="00843145">
              <w:rPr>
                <w:color w:val="000000"/>
              </w:rPr>
              <w:t xml:space="preserve">European Union </w:t>
            </w:r>
            <w:proofErr w:type="gramStart"/>
            <w:r w:rsidRPr="00843145">
              <w:rPr>
                <w:color w:val="000000"/>
              </w:rPr>
              <w:t>trade mark</w:t>
            </w:r>
            <w:proofErr w:type="gramEnd"/>
            <w:r w:rsidRPr="00843145">
              <w:rPr>
                <w:color w:val="000000"/>
              </w:rPr>
              <w:t xml:space="preserve"> application No 19 076 105 is rejected for all the above goods and services. It may proceed for the remaining goods</w:t>
            </w:r>
            <w:r w:rsidR="00E5685F" w:rsidRPr="00843145">
              <w:rPr>
                <w:color w:val="000000"/>
              </w:rPr>
              <w:t>, namely:</w:t>
            </w:r>
          </w:p>
          <w:p w14:paraId="6F79C16F" w14:textId="77777777" w:rsidR="00E5685F" w:rsidRPr="00843145" w:rsidRDefault="00E5685F" w:rsidP="00686E16">
            <w:pPr>
              <w:ind w:left="15"/>
              <w:jc w:val="both"/>
              <w:rPr>
                <w:color w:val="000000"/>
              </w:rPr>
            </w:pPr>
          </w:p>
          <w:p w14:paraId="65B411E9" w14:textId="659DF243" w:rsidR="00E5685F" w:rsidRPr="00843145" w:rsidRDefault="00E5685F" w:rsidP="00E5685F">
            <w:pPr>
              <w:ind w:left="331"/>
              <w:jc w:val="both"/>
              <w:rPr>
                <w:color w:val="000000"/>
              </w:rPr>
            </w:pPr>
            <w:r w:rsidRPr="00843145">
              <w:rPr>
                <w:color w:val="000000"/>
              </w:rPr>
              <w:t xml:space="preserve">Class 14: </w:t>
            </w:r>
            <w:r w:rsidRPr="00843145">
              <w:rPr>
                <w:i/>
                <w:color w:val="000000"/>
              </w:rPr>
              <w:t>Precious metals and imitations thereof.</w:t>
            </w:r>
          </w:p>
        </w:tc>
      </w:tr>
    </w:tbl>
    <w:p w14:paraId="0D7A0879" w14:textId="29A2826B" w:rsidR="00D72E13" w:rsidRPr="00843145" w:rsidRDefault="00D72E13">
      <w:pPr>
        <w:jc w:val="both"/>
      </w:pPr>
    </w:p>
    <w:tbl>
      <w:tblPr>
        <w:tblW w:w="0" w:type="auto"/>
        <w:tblCellSpacing w:w="0" w:type="auto"/>
        <w:tblLook w:val="04A0" w:firstRow="1" w:lastRow="0" w:firstColumn="1" w:lastColumn="0" w:noHBand="0" w:noVBand="1"/>
      </w:tblPr>
      <w:tblGrid>
        <w:gridCol w:w="527"/>
        <w:gridCol w:w="8500"/>
      </w:tblGrid>
      <w:tr w:rsidR="00D72E13" w:rsidRPr="00843145" w14:paraId="514E51A9" w14:textId="77777777" w:rsidTr="00686E16">
        <w:trPr>
          <w:trHeight w:val="30"/>
          <w:tblCellSpacing w:w="0" w:type="auto"/>
        </w:trPr>
        <w:tc>
          <w:tcPr>
            <w:tcW w:w="527" w:type="dxa"/>
            <w:tcMar>
              <w:top w:w="15" w:type="dxa"/>
              <w:left w:w="15" w:type="dxa"/>
              <w:bottom w:w="15" w:type="dxa"/>
              <w:right w:w="15" w:type="dxa"/>
            </w:tcMar>
          </w:tcPr>
          <w:p w14:paraId="2B9914AA" w14:textId="4461D1BC" w:rsidR="00D72E13" w:rsidRPr="00843145" w:rsidRDefault="00943FA7">
            <w:pPr>
              <w:jc w:val="both"/>
            </w:pPr>
            <w:r w:rsidRPr="00843145">
              <w:rPr>
                <w:b/>
                <w:color w:val="000000"/>
              </w:rPr>
              <w:t>3.</w:t>
            </w:r>
          </w:p>
        </w:tc>
        <w:tc>
          <w:tcPr>
            <w:tcW w:w="8500" w:type="dxa"/>
            <w:tcMar>
              <w:top w:w="15" w:type="dxa"/>
              <w:left w:w="15" w:type="dxa"/>
              <w:bottom w:w="15" w:type="dxa"/>
              <w:right w:w="15" w:type="dxa"/>
            </w:tcMar>
          </w:tcPr>
          <w:p w14:paraId="2ABA8A09" w14:textId="77777777" w:rsidR="00D72E13" w:rsidRPr="00843145" w:rsidRDefault="00943FA7">
            <w:pPr>
              <w:jc w:val="both"/>
            </w:pPr>
            <w:r w:rsidRPr="00843145">
              <w:rPr>
                <w:color w:val="000000"/>
              </w:rPr>
              <w:t>Each party bears its own costs.</w:t>
            </w:r>
          </w:p>
        </w:tc>
      </w:tr>
    </w:tbl>
    <w:p w14:paraId="449FAACB" w14:textId="77B7F78E" w:rsidR="00D72E13" w:rsidRPr="00843145" w:rsidRDefault="00D72E13">
      <w:pPr>
        <w:jc w:val="both"/>
      </w:pPr>
    </w:p>
    <w:p w14:paraId="7D905BD1" w14:textId="77777777" w:rsidR="00D72E13" w:rsidRPr="00843145" w:rsidRDefault="00943FA7" w:rsidP="00686E16">
      <w:pPr>
        <w:spacing w:before="120"/>
        <w:jc w:val="center"/>
      </w:pPr>
      <w:bookmarkStart w:id="3" w:name="chk-paragraph-3_nodeId-1085394009"/>
      <w:bookmarkEnd w:id="2"/>
      <w:r w:rsidRPr="00843145">
        <w:rPr>
          <w:b/>
          <w:color w:val="000000"/>
        </w:rPr>
        <w:t>REASONS</w:t>
      </w:r>
    </w:p>
    <w:p w14:paraId="261F5B96" w14:textId="438995A0" w:rsidR="00D72E13" w:rsidRPr="00843145" w:rsidRDefault="00D72E13">
      <w:pPr>
        <w:jc w:val="both"/>
      </w:pPr>
    </w:p>
    <w:p w14:paraId="1C094A4F" w14:textId="0920C1CC" w:rsidR="00D72E13" w:rsidRPr="00843145" w:rsidRDefault="00943FA7">
      <w:pPr>
        <w:jc w:val="both"/>
      </w:pPr>
      <w:r w:rsidRPr="00843145">
        <w:rPr>
          <w:color w:val="000000"/>
        </w:rPr>
        <w:t xml:space="preserve">On 13/11/2024, the opponent filed an opposition against all the goods and services of European Union </w:t>
      </w:r>
      <w:proofErr w:type="gramStart"/>
      <w:r w:rsidRPr="00843145">
        <w:rPr>
          <w:color w:val="000000"/>
        </w:rPr>
        <w:t>trade mark</w:t>
      </w:r>
      <w:proofErr w:type="gramEnd"/>
      <w:r w:rsidRPr="00843145">
        <w:rPr>
          <w:color w:val="000000"/>
        </w:rPr>
        <w:t xml:space="preserve"> application No 19 076 105 </w:t>
      </w:r>
      <w:r w:rsidR="001A426C" w:rsidRPr="00843145">
        <w:rPr>
          <w:color w:val="000000"/>
        </w:rPr>
        <w:t>‘</w:t>
      </w:r>
      <w:r w:rsidRPr="00843145">
        <w:rPr>
          <w:color w:val="000000"/>
        </w:rPr>
        <w:t>FENDI CLUB</w:t>
      </w:r>
      <w:r w:rsidR="001A426C" w:rsidRPr="00843145">
        <w:rPr>
          <w:color w:val="000000"/>
        </w:rPr>
        <w:t>’</w:t>
      </w:r>
      <w:r w:rsidRPr="00843145">
        <w:rPr>
          <w:color w:val="000000"/>
        </w:rPr>
        <w:t xml:space="preserve"> (word mark). The opposition is based on </w:t>
      </w:r>
      <w:r w:rsidR="00FE4F70" w:rsidRPr="00843145">
        <w:rPr>
          <w:color w:val="000000"/>
        </w:rPr>
        <w:t xml:space="preserve">European Union </w:t>
      </w:r>
      <w:proofErr w:type="gramStart"/>
      <w:r w:rsidR="00FE4F70" w:rsidRPr="00843145">
        <w:rPr>
          <w:color w:val="000000"/>
        </w:rPr>
        <w:t>trade mark</w:t>
      </w:r>
      <w:proofErr w:type="gramEnd"/>
      <w:r w:rsidR="00FE4F70" w:rsidRPr="00843145">
        <w:rPr>
          <w:color w:val="000000"/>
        </w:rPr>
        <w:t xml:space="preserve"> </w:t>
      </w:r>
      <w:r w:rsidRPr="00843145">
        <w:rPr>
          <w:color w:val="000000"/>
        </w:rPr>
        <w:t>registration</w:t>
      </w:r>
      <w:r w:rsidR="00FE4F70" w:rsidRPr="00843145">
        <w:rPr>
          <w:color w:val="000000"/>
        </w:rPr>
        <w:t>s</w:t>
      </w:r>
      <w:r w:rsidRPr="00843145">
        <w:rPr>
          <w:color w:val="000000"/>
        </w:rPr>
        <w:t xml:space="preserve"> No 18 274 812, No 8 252 496 </w:t>
      </w:r>
      <w:r w:rsidR="00FE4F70" w:rsidRPr="00843145">
        <w:rPr>
          <w:color w:val="000000"/>
        </w:rPr>
        <w:t>and</w:t>
      </w:r>
      <w:r w:rsidRPr="00843145">
        <w:rPr>
          <w:color w:val="000000"/>
        </w:rPr>
        <w:t xml:space="preserve"> No 9 875 352, </w:t>
      </w:r>
      <w:r w:rsidR="00FE4F70" w:rsidRPr="00843145">
        <w:rPr>
          <w:color w:val="000000"/>
        </w:rPr>
        <w:t>all for the word mark ‘</w:t>
      </w:r>
      <w:r w:rsidRPr="00843145">
        <w:rPr>
          <w:color w:val="000000"/>
        </w:rPr>
        <w:t>FENDI</w:t>
      </w:r>
      <w:r w:rsidR="00FE4F70" w:rsidRPr="00843145">
        <w:rPr>
          <w:color w:val="000000"/>
        </w:rPr>
        <w:t>’</w:t>
      </w:r>
      <w:r w:rsidRPr="00843145">
        <w:rPr>
          <w:color w:val="000000"/>
        </w:rPr>
        <w:t>. The opponent invoked Article</w:t>
      </w:r>
      <w:r w:rsidR="00FE4F70" w:rsidRPr="00843145">
        <w:rPr>
          <w:color w:val="000000"/>
        </w:rPr>
        <w:t> </w:t>
      </w:r>
      <w:r w:rsidRPr="00843145">
        <w:rPr>
          <w:color w:val="000000"/>
        </w:rPr>
        <w:t>8(1)(b) EUTMR</w:t>
      </w:r>
      <w:r w:rsidR="00FE4F70" w:rsidRPr="00843145">
        <w:rPr>
          <w:color w:val="000000"/>
        </w:rPr>
        <w:t xml:space="preserve"> in relation to all </w:t>
      </w:r>
      <w:r w:rsidR="001A426C" w:rsidRPr="00843145">
        <w:rPr>
          <w:color w:val="000000"/>
        </w:rPr>
        <w:t>three</w:t>
      </w:r>
      <w:r w:rsidR="00FE4F70" w:rsidRPr="00843145">
        <w:rPr>
          <w:color w:val="000000"/>
        </w:rPr>
        <w:t xml:space="preserve"> earlier marks and</w:t>
      </w:r>
      <w:r w:rsidRPr="00843145">
        <w:rPr>
          <w:color w:val="000000"/>
        </w:rPr>
        <w:t xml:space="preserve"> Article</w:t>
      </w:r>
      <w:r w:rsidR="00FE4F70" w:rsidRPr="00843145">
        <w:rPr>
          <w:color w:val="000000"/>
        </w:rPr>
        <w:t> </w:t>
      </w:r>
      <w:r w:rsidRPr="00843145">
        <w:rPr>
          <w:color w:val="000000"/>
        </w:rPr>
        <w:t>8(5) EUTMR</w:t>
      </w:r>
      <w:r w:rsidR="00FE4F70" w:rsidRPr="00843145">
        <w:rPr>
          <w:color w:val="000000"/>
        </w:rPr>
        <w:t xml:space="preserve"> in relation to </w:t>
      </w:r>
      <w:r w:rsidR="00850C1C" w:rsidRPr="00843145">
        <w:rPr>
          <w:color w:val="000000"/>
        </w:rPr>
        <w:t xml:space="preserve">European Union </w:t>
      </w:r>
      <w:proofErr w:type="gramStart"/>
      <w:r w:rsidR="00850C1C" w:rsidRPr="00843145">
        <w:rPr>
          <w:color w:val="000000"/>
        </w:rPr>
        <w:t>trade mark</w:t>
      </w:r>
      <w:proofErr w:type="gramEnd"/>
      <w:r w:rsidR="00850C1C" w:rsidRPr="00843145">
        <w:rPr>
          <w:color w:val="000000"/>
        </w:rPr>
        <w:t xml:space="preserve"> registration No 18 274 812</w:t>
      </w:r>
      <w:r w:rsidRPr="00843145">
        <w:rPr>
          <w:color w:val="000000"/>
        </w:rPr>
        <w:t>.</w:t>
      </w:r>
    </w:p>
    <w:p w14:paraId="5E4097A6" w14:textId="1D4BF672" w:rsidR="00D72E13" w:rsidRPr="00843145" w:rsidRDefault="00D72E13" w:rsidP="00850C1C">
      <w:pPr>
        <w:spacing w:before="120"/>
        <w:jc w:val="both"/>
      </w:pPr>
      <w:bookmarkStart w:id="4" w:name="chk-paragraph-9_nodeId--1671418853"/>
      <w:bookmarkEnd w:id="3"/>
    </w:p>
    <w:p w14:paraId="6F0695AA" w14:textId="3ED22037" w:rsidR="00D72E13" w:rsidRPr="00843145" w:rsidRDefault="00943FA7" w:rsidP="00850C1C">
      <w:pPr>
        <w:spacing w:before="120"/>
      </w:pPr>
      <w:bookmarkStart w:id="5" w:name="chk-paragraph-9-3_nodeId--1128870563"/>
      <w:bookmarkEnd w:id="4"/>
      <w:r w:rsidRPr="00843145">
        <w:rPr>
          <w:b/>
          <w:color w:val="000000"/>
        </w:rPr>
        <w:t>LIKELIHOOD OF CONFUSION — ARTICLE 8(1)(b) EUTMR</w:t>
      </w:r>
    </w:p>
    <w:p w14:paraId="694D3431" w14:textId="77777777" w:rsidR="00850C1C" w:rsidRPr="00843145" w:rsidRDefault="00850C1C" w:rsidP="00850C1C">
      <w:pPr>
        <w:jc w:val="both"/>
        <w:rPr>
          <w:color w:val="000000"/>
        </w:rPr>
      </w:pPr>
    </w:p>
    <w:p w14:paraId="61A3DD3C" w14:textId="681FC1DB" w:rsidR="00D72E13" w:rsidRPr="00843145" w:rsidRDefault="00943FA7" w:rsidP="00850C1C">
      <w:pPr>
        <w:jc w:val="both"/>
        <w:rPr>
          <w:color w:val="000000"/>
        </w:rPr>
      </w:pPr>
      <w:r w:rsidRPr="00843145">
        <w:rPr>
          <w:color w:val="000000"/>
        </w:rPr>
        <w:t>Pursuant to Article</w:t>
      </w:r>
      <w:r w:rsidR="00850C1C" w:rsidRPr="00843145">
        <w:rPr>
          <w:color w:val="000000"/>
        </w:rPr>
        <w:t> </w:t>
      </w:r>
      <w:r w:rsidRPr="00843145">
        <w:rPr>
          <w:color w:val="000000"/>
        </w:rPr>
        <w:t>8(1)(b) EUTMR, a likelihood of confusion exists if there is a risk that the public might believe that the goods or services in question, under the assumption that they bear the marks in question, come from the same undertaking or</w:t>
      </w:r>
      <w:proofErr w:type="gramStart"/>
      <w:r w:rsidRPr="00843145">
        <w:rPr>
          <w:color w:val="000000"/>
        </w:rPr>
        <w:t>, as the case may be, from</w:t>
      </w:r>
      <w:proofErr w:type="gramEnd"/>
      <w:r w:rsidRPr="00843145">
        <w:rPr>
          <w:color w:val="000000"/>
        </w:rPr>
        <w:t xml:space="preserve"> </w:t>
      </w:r>
      <w:r w:rsidRPr="00843145">
        <w:rPr>
          <w:color w:val="000000"/>
        </w:rPr>
        <w:lastRenderedPageBreak/>
        <w:t>economically linked undertakings. Whether a likelihood of confusion exists depends on the appreciation in a global assessment of several factors, which are interdependent. These factors include the similarity of the signs, the similarity of the goods and services, the distinctiveness of the earlier mark, the distinctive and dominant elements of the conflicting signs, and the relevant public.</w:t>
      </w:r>
    </w:p>
    <w:p w14:paraId="3C28A98E" w14:textId="77777777" w:rsidR="00850C1C" w:rsidRPr="00843145" w:rsidRDefault="00850C1C" w:rsidP="00850C1C">
      <w:pPr>
        <w:jc w:val="both"/>
      </w:pPr>
    </w:p>
    <w:p w14:paraId="51A4EADA" w14:textId="714D31D5" w:rsidR="00D72E13" w:rsidRPr="00843145" w:rsidRDefault="00943FA7" w:rsidP="009F24C9">
      <w:pPr>
        <w:spacing w:before="120"/>
        <w:jc w:val="both"/>
      </w:pPr>
      <w:bookmarkStart w:id="6" w:name="chk-paragraph-9-3-1_nodeId-537559823"/>
      <w:bookmarkEnd w:id="5"/>
      <w:r w:rsidRPr="00843145">
        <w:rPr>
          <w:b/>
          <w:color w:val="000000"/>
        </w:rPr>
        <w:t>a) The</w:t>
      </w:r>
      <w:r w:rsidR="004255A1" w:rsidRPr="00843145">
        <w:rPr>
          <w:b/>
          <w:color w:val="000000"/>
        </w:rPr>
        <w:t xml:space="preserve"> </w:t>
      </w:r>
      <w:r w:rsidRPr="00843145">
        <w:rPr>
          <w:b/>
          <w:color w:val="000000"/>
        </w:rPr>
        <w:t>goods and services</w:t>
      </w:r>
    </w:p>
    <w:p w14:paraId="3ED29665" w14:textId="397DA1A7" w:rsidR="00D72E13" w:rsidRPr="00843145" w:rsidRDefault="00D72E13">
      <w:pPr>
        <w:jc w:val="both"/>
      </w:pPr>
    </w:p>
    <w:p w14:paraId="2FE07B6E" w14:textId="470E5A50" w:rsidR="00D72E13" w:rsidRPr="00843145" w:rsidRDefault="00943FA7">
      <w:pPr>
        <w:jc w:val="both"/>
      </w:pPr>
      <w:r w:rsidRPr="00843145">
        <w:rPr>
          <w:color w:val="000000"/>
        </w:rPr>
        <w:t>The</w:t>
      </w:r>
      <w:r w:rsidR="004255A1" w:rsidRPr="00843145">
        <w:rPr>
          <w:color w:val="000000"/>
        </w:rPr>
        <w:t xml:space="preserve"> </w:t>
      </w:r>
      <w:r w:rsidRPr="00843145">
        <w:rPr>
          <w:color w:val="000000"/>
        </w:rPr>
        <w:t>goods and services</w:t>
      </w:r>
      <w:r w:rsidR="004255A1" w:rsidRPr="00843145">
        <w:rPr>
          <w:color w:val="000000"/>
        </w:rPr>
        <w:t xml:space="preserve"> </w:t>
      </w:r>
      <w:r w:rsidRPr="00843145">
        <w:rPr>
          <w:color w:val="000000"/>
        </w:rPr>
        <w:t>on which the opposition is based are the following:</w:t>
      </w:r>
    </w:p>
    <w:p w14:paraId="66502057" w14:textId="77777777" w:rsidR="00D72E13" w:rsidRPr="00843145" w:rsidRDefault="00D72E13">
      <w:pPr>
        <w:jc w:val="both"/>
      </w:pPr>
    </w:p>
    <w:p w14:paraId="2AF5A2B1" w14:textId="04E9AFAE" w:rsidR="00D72E13" w:rsidRPr="00843145" w:rsidRDefault="00943FA7" w:rsidP="004255A1">
      <w:pPr>
        <w:jc w:val="both"/>
        <w:rPr>
          <w:u w:val="single"/>
        </w:rPr>
      </w:pPr>
      <w:r w:rsidRPr="00843145">
        <w:rPr>
          <w:color w:val="000000"/>
          <w:u w:val="single"/>
        </w:rPr>
        <w:t>EUTM registration No</w:t>
      </w:r>
      <w:r w:rsidR="004255A1" w:rsidRPr="00843145">
        <w:rPr>
          <w:color w:val="000000"/>
          <w:u w:val="single"/>
        </w:rPr>
        <w:t> </w:t>
      </w:r>
      <w:r w:rsidRPr="00843145">
        <w:rPr>
          <w:color w:val="000000"/>
          <w:u w:val="single"/>
        </w:rPr>
        <w:t>18 274 812</w:t>
      </w:r>
      <w:r w:rsidR="004255A1" w:rsidRPr="00843145">
        <w:rPr>
          <w:color w:val="000000"/>
          <w:u w:val="single"/>
        </w:rPr>
        <w:t xml:space="preserve"> (earlier mark 1):</w:t>
      </w:r>
    </w:p>
    <w:p w14:paraId="3951F804" w14:textId="77777777" w:rsidR="00021C78" w:rsidRPr="00843145" w:rsidRDefault="00021C78" w:rsidP="004255A1">
      <w:pPr>
        <w:jc w:val="both"/>
        <w:rPr>
          <w:color w:val="000000"/>
        </w:rPr>
      </w:pPr>
    </w:p>
    <w:p w14:paraId="2C6F2829" w14:textId="2EE0C8FF" w:rsidR="00D72E13" w:rsidRPr="00843145" w:rsidRDefault="00943FA7" w:rsidP="004255A1">
      <w:pPr>
        <w:jc w:val="both"/>
      </w:pPr>
      <w:r w:rsidRPr="00843145">
        <w:rPr>
          <w:color w:val="000000"/>
        </w:rPr>
        <w:t>Class</w:t>
      </w:r>
      <w:r w:rsidR="00021C78" w:rsidRPr="00843145">
        <w:rPr>
          <w:color w:val="000000"/>
        </w:rPr>
        <w:t> </w:t>
      </w:r>
      <w:r w:rsidRPr="00843145">
        <w:rPr>
          <w:color w:val="000000"/>
        </w:rPr>
        <w:t xml:space="preserve">14: </w:t>
      </w:r>
      <w:proofErr w:type="spellStart"/>
      <w:r w:rsidRPr="00843145">
        <w:rPr>
          <w:i/>
          <w:color w:val="000000"/>
        </w:rPr>
        <w:t>Jewelery</w:t>
      </w:r>
      <w:proofErr w:type="spellEnd"/>
      <w:r w:rsidRPr="00843145">
        <w:rPr>
          <w:i/>
          <w:color w:val="000000"/>
        </w:rPr>
        <w:t xml:space="preserve"> and items of </w:t>
      </w:r>
      <w:proofErr w:type="spellStart"/>
      <w:r w:rsidRPr="00843145">
        <w:rPr>
          <w:i/>
          <w:color w:val="000000"/>
        </w:rPr>
        <w:t>jewelery</w:t>
      </w:r>
      <w:proofErr w:type="spellEnd"/>
      <w:r w:rsidRPr="00843145">
        <w:rPr>
          <w:i/>
          <w:color w:val="000000"/>
        </w:rPr>
        <w:t>, including rings, key rings, buckles, earrings, cufflinks, bracelets, charms, brooches, necklaces, chains, tie pins; horological and chronometric instruments such as watch bracelets, watches, wristwatches, pendulum clocks, alarm clocks, caskets and cases for horological articles.</w:t>
      </w:r>
    </w:p>
    <w:p w14:paraId="6A780C14" w14:textId="77777777" w:rsidR="009F24C9" w:rsidRPr="00843145" w:rsidRDefault="009F24C9" w:rsidP="004255A1">
      <w:pPr>
        <w:jc w:val="both"/>
        <w:rPr>
          <w:color w:val="000000"/>
        </w:rPr>
      </w:pPr>
    </w:p>
    <w:p w14:paraId="3F6467CA" w14:textId="07AD3A7A" w:rsidR="00D72E13" w:rsidRPr="00843145" w:rsidRDefault="00943FA7" w:rsidP="004255A1">
      <w:pPr>
        <w:jc w:val="both"/>
      </w:pPr>
      <w:r w:rsidRPr="00843145">
        <w:rPr>
          <w:color w:val="000000"/>
        </w:rPr>
        <w:t>Class</w:t>
      </w:r>
      <w:r w:rsidR="00021C78" w:rsidRPr="00843145">
        <w:rPr>
          <w:color w:val="000000"/>
        </w:rPr>
        <w:t> </w:t>
      </w:r>
      <w:r w:rsidRPr="00843145">
        <w:rPr>
          <w:color w:val="000000"/>
        </w:rPr>
        <w:t xml:space="preserve">18: </w:t>
      </w:r>
      <w:r w:rsidR="00021C78" w:rsidRPr="00843145">
        <w:rPr>
          <w:i/>
          <w:color w:val="000000"/>
        </w:rPr>
        <w:t>B</w:t>
      </w:r>
      <w:r w:rsidRPr="00843145">
        <w:rPr>
          <w:i/>
          <w:color w:val="000000"/>
        </w:rPr>
        <w:t>ags; shoulder bags; travelling bags; hand bags; belt bags; sling bags for carrying infants; leather and cloth shoppers; trunk bags; shoppers; clutch bags; trunks; wallets; purses; document bags; briefcases; leather bags for packing; school bags; suitcases; garment bags for travel; key cases of leather; backpacks; empty beauty cases; general purpose trolley bags; beach bags; umbrellas; baby carriers; key cases.</w:t>
      </w:r>
    </w:p>
    <w:p w14:paraId="7A481A65" w14:textId="77777777" w:rsidR="009F24C9" w:rsidRPr="00843145" w:rsidRDefault="009F24C9" w:rsidP="004255A1">
      <w:pPr>
        <w:jc w:val="both"/>
        <w:rPr>
          <w:color w:val="000000"/>
        </w:rPr>
      </w:pPr>
    </w:p>
    <w:p w14:paraId="09EE8162" w14:textId="3D472205" w:rsidR="00D72E13" w:rsidRPr="00843145" w:rsidRDefault="00943FA7" w:rsidP="004255A1">
      <w:pPr>
        <w:jc w:val="both"/>
      </w:pPr>
      <w:r w:rsidRPr="00843145">
        <w:rPr>
          <w:color w:val="000000"/>
        </w:rPr>
        <w:t>Class</w:t>
      </w:r>
      <w:r w:rsidR="00021C78" w:rsidRPr="00843145">
        <w:rPr>
          <w:color w:val="000000"/>
        </w:rPr>
        <w:t> </w:t>
      </w:r>
      <w:r w:rsidRPr="00843145">
        <w:rPr>
          <w:color w:val="000000"/>
        </w:rPr>
        <w:t xml:space="preserve">25: </w:t>
      </w:r>
      <w:r w:rsidRPr="00843145">
        <w:rPr>
          <w:i/>
          <w:color w:val="000000"/>
        </w:rPr>
        <w:t xml:space="preserve">Clothing; </w:t>
      </w:r>
      <w:r w:rsidR="00021C78" w:rsidRPr="00843145">
        <w:rPr>
          <w:i/>
          <w:color w:val="000000"/>
        </w:rPr>
        <w:t xml:space="preserve">footwear; headgear; sweaters; jerseys [clothing]; jackets; sweat shirts; parkas; swimming costumes; chemisettes; shirts; trousers; denim jeans; waistcoats; skirts; shorts; tee-shirts; gowns; men's suits; coats; mackintoshes; topcoats; fur coats and jackets; aprons [clothing]; underwear; shawls; scarves; neckties; gloves [clothing]; belts [clothing]; shoes; boots; sandals; slippers; hats; caps </w:t>
      </w:r>
      <w:r w:rsidRPr="00843145">
        <w:rPr>
          <w:i/>
          <w:color w:val="000000"/>
        </w:rPr>
        <w:t>[headwear].</w:t>
      </w:r>
    </w:p>
    <w:p w14:paraId="455BC5B3" w14:textId="77777777" w:rsidR="009F24C9" w:rsidRPr="00843145" w:rsidRDefault="009F24C9" w:rsidP="004255A1">
      <w:pPr>
        <w:jc w:val="both"/>
        <w:rPr>
          <w:color w:val="000000"/>
        </w:rPr>
      </w:pPr>
    </w:p>
    <w:p w14:paraId="632CD0B1" w14:textId="4160ADC4" w:rsidR="00D72E13" w:rsidRPr="00843145" w:rsidRDefault="00943FA7" w:rsidP="004255A1">
      <w:pPr>
        <w:jc w:val="both"/>
        <w:rPr>
          <w:u w:val="single"/>
        </w:rPr>
      </w:pPr>
      <w:r w:rsidRPr="00843145">
        <w:rPr>
          <w:color w:val="000000"/>
          <w:u w:val="single"/>
        </w:rPr>
        <w:t>EUTM registration No</w:t>
      </w:r>
      <w:r w:rsidR="00021C78" w:rsidRPr="00843145">
        <w:rPr>
          <w:color w:val="000000"/>
          <w:u w:val="single"/>
        </w:rPr>
        <w:t> </w:t>
      </w:r>
      <w:r w:rsidRPr="00843145">
        <w:rPr>
          <w:color w:val="000000"/>
          <w:u w:val="single"/>
        </w:rPr>
        <w:t>8 252 496</w:t>
      </w:r>
      <w:r w:rsidR="00021C78" w:rsidRPr="00843145">
        <w:rPr>
          <w:color w:val="000000"/>
          <w:u w:val="single"/>
        </w:rPr>
        <w:t xml:space="preserve"> (earlier mark 2):</w:t>
      </w:r>
    </w:p>
    <w:p w14:paraId="76F076CF" w14:textId="77777777" w:rsidR="00021C78" w:rsidRPr="00843145" w:rsidRDefault="00021C78" w:rsidP="004255A1">
      <w:pPr>
        <w:jc w:val="both"/>
        <w:rPr>
          <w:color w:val="000000"/>
        </w:rPr>
      </w:pPr>
    </w:p>
    <w:p w14:paraId="494EF0E4" w14:textId="025A05C1" w:rsidR="00D72E13" w:rsidRPr="00843145" w:rsidRDefault="00943FA7" w:rsidP="004255A1">
      <w:pPr>
        <w:jc w:val="both"/>
      </w:pPr>
      <w:r w:rsidRPr="00843145">
        <w:rPr>
          <w:color w:val="000000"/>
        </w:rPr>
        <w:t>Class</w:t>
      </w:r>
      <w:r w:rsidR="00021C78" w:rsidRPr="00843145">
        <w:rPr>
          <w:color w:val="000000"/>
        </w:rPr>
        <w:t> </w:t>
      </w:r>
      <w:r w:rsidRPr="00843145">
        <w:rPr>
          <w:color w:val="000000"/>
        </w:rPr>
        <w:t xml:space="preserve">42: </w:t>
      </w:r>
      <w:r w:rsidRPr="00843145">
        <w:rPr>
          <w:i/>
          <w:color w:val="000000"/>
        </w:rPr>
        <w:t>Scientific and technological services and research and design relating thereto; industrial analysis and research services; design and development of computer hardware and software; dress designing; graphic arts designing; packaging design.</w:t>
      </w:r>
    </w:p>
    <w:p w14:paraId="3B4ED236" w14:textId="77777777" w:rsidR="00021C78" w:rsidRPr="00843145" w:rsidRDefault="00021C78" w:rsidP="004255A1">
      <w:pPr>
        <w:jc w:val="both"/>
        <w:rPr>
          <w:color w:val="000000"/>
        </w:rPr>
      </w:pPr>
    </w:p>
    <w:p w14:paraId="747C2574" w14:textId="5FB4C603" w:rsidR="00D72E13" w:rsidRPr="00843145" w:rsidRDefault="00943FA7" w:rsidP="004255A1">
      <w:pPr>
        <w:jc w:val="both"/>
        <w:rPr>
          <w:u w:val="single"/>
        </w:rPr>
      </w:pPr>
      <w:r w:rsidRPr="00843145">
        <w:rPr>
          <w:color w:val="000000"/>
          <w:u w:val="single"/>
        </w:rPr>
        <w:t>EUTM registration No</w:t>
      </w:r>
      <w:r w:rsidR="00021C78" w:rsidRPr="00843145">
        <w:rPr>
          <w:color w:val="000000"/>
          <w:u w:val="single"/>
        </w:rPr>
        <w:t> </w:t>
      </w:r>
      <w:r w:rsidRPr="00843145">
        <w:rPr>
          <w:color w:val="000000"/>
          <w:u w:val="single"/>
        </w:rPr>
        <w:t>9 875 352</w:t>
      </w:r>
      <w:r w:rsidR="00021C78" w:rsidRPr="00843145">
        <w:rPr>
          <w:color w:val="000000"/>
          <w:u w:val="single"/>
        </w:rPr>
        <w:t xml:space="preserve"> (earlier mark 3):</w:t>
      </w:r>
    </w:p>
    <w:p w14:paraId="463AEDCF" w14:textId="77777777" w:rsidR="00021C78" w:rsidRPr="00843145" w:rsidRDefault="00021C78" w:rsidP="004255A1">
      <w:pPr>
        <w:jc w:val="both"/>
        <w:rPr>
          <w:color w:val="000000"/>
        </w:rPr>
      </w:pPr>
    </w:p>
    <w:p w14:paraId="59B5D00B" w14:textId="40BA87FB" w:rsidR="00D72E13" w:rsidRPr="00843145" w:rsidRDefault="00943FA7" w:rsidP="004255A1">
      <w:pPr>
        <w:jc w:val="both"/>
      </w:pPr>
      <w:r w:rsidRPr="00843145">
        <w:rPr>
          <w:color w:val="000000"/>
        </w:rPr>
        <w:t>Class</w:t>
      </w:r>
      <w:r w:rsidR="00021C78" w:rsidRPr="00843145">
        <w:rPr>
          <w:color w:val="000000"/>
        </w:rPr>
        <w:t> </w:t>
      </w:r>
      <w:r w:rsidRPr="00843145">
        <w:rPr>
          <w:color w:val="000000"/>
        </w:rPr>
        <w:t xml:space="preserve">35: </w:t>
      </w:r>
      <w:r w:rsidRPr="00843145">
        <w:rPr>
          <w:i/>
          <w:color w:val="000000"/>
        </w:rPr>
        <w:t xml:space="preserve">Advertising; </w:t>
      </w:r>
      <w:r w:rsidR="00021C78" w:rsidRPr="00843145">
        <w:rPr>
          <w:i/>
          <w:color w:val="000000"/>
        </w:rPr>
        <w:t>advertising; business management; business administration; retail services in relation to: fortified wine, beer, water, fruit juices, beverages in general, food, clothing, bags and leather goods, diaries, calendars and writing instruments, stationery including adhesives, pens, writing books, telephone directories, including electronic directories, pads and smartphones, perfumes and preparations for bleaching and cleaning, cosmetics, chemical products, fuels and lubricants, musical instruments, arms, fireworks</w:t>
      </w:r>
      <w:r w:rsidRPr="00843145">
        <w:rPr>
          <w:i/>
          <w:color w:val="000000"/>
        </w:rPr>
        <w:t xml:space="preserve">, CD-'s, DVD's, </w:t>
      </w:r>
      <w:r w:rsidR="00021C78" w:rsidRPr="00843145">
        <w:rPr>
          <w:i/>
          <w:color w:val="000000"/>
        </w:rPr>
        <w:t xml:space="preserve">computer software, electronic media apparatus, telephones and accessories, televisions and radio advertising, telephone holders and keyboards for telephones and computers, jewellery and imitation jewellery, clocks, spectacles, curtains and textiles including tea towels, pot holders, table cloths, panniers, purses, aprons, housewares and containers of all kinds, utensils and furnishings for the house and kitchen, briquettes, smoking products, toys, games and playthings, sport equipment, live animals, fruit, vegetables and seeds, items of rubber, plastic, marble, furniture for interiors, carpets, ropes, goods of linen, bed sheets and table cloths, clothing and headgear, newspapers, magazines and books, newsletters, magazines, pamphlets, and brochures, greeting cards, pharmaceutical drugs, varnish, apparatus for lighting, heating, cooking, refrigeration, water supply and sanitary installations, cups of porcelain and not of porcelain, bags of paper, furnishings, vehicles, means of </w:t>
      </w:r>
      <w:r w:rsidR="00021C78" w:rsidRPr="00843145">
        <w:rPr>
          <w:i/>
          <w:color w:val="000000"/>
        </w:rPr>
        <w:lastRenderedPageBreak/>
        <w:t>locomotion including electric cars, brochures, posters, telephone cards and batteries; commercial information agencies; commercial information and advice for consumers [consumer advice shop]; modelling for advertising or sales promotion; organization of exhibitions for commercial or advertising purposes; organization of trade fairs for commercial or advertising purposes; presentation of goods on communication media, for retail purposes; public relations; rental of advertising space; rental of advertising time on communication media; s</w:t>
      </w:r>
      <w:r w:rsidRPr="00843145">
        <w:rPr>
          <w:i/>
          <w:color w:val="000000"/>
        </w:rPr>
        <w:t>hop window dressing; communication media (presentation of goods on - ), for retail purposes.</w:t>
      </w:r>
    </w:p>
    <w:p w14:paraId="2EFB2E68" w14:textId="77777777" w:rsidR="00D72E13" w:rsidRPr="00843145" w:rsidRDefault="00D72E13" w:rsidP="004255A1">
      <w:pPr>
        <w:jc w:val="both"/>
      </w:pPr>
    </w:p>
    <w:p w14:paraId="5287BD49" w14:textId="4AC8ABD6" w:rsidR="00D72E13" w:rsidRPr="00843145" w:rsidRDefault="00943FA7" w:rsidP="004255A1">
      <w:pPr>
        <w:spacing w:before="120"/>
        <w:jc w:val="both"/>
      </w:pPr>
      <w:r w:rsidRPr="00843145">
        <w:rPr>
          <w:color w:val="000000"/>
        </w:rPr>
        <w:t>The contested</w:t>
      </w:r>
      <w:r w:rsidR="004255A1" w:rsidRPr="00843145">
        <w:rPr>
          <w:color w:val="000000"/>
        </w:rPr>
        <w:t xml:space="preserve"> </w:t>
      </w:r>
      <w:r w:rsidRPr="00843145">
        <w:rPr>
          <w:color w:val="000000"/>
        </w:rPr>
        <w:t>goods and services</w:t>
      </w:r>
      <w:r w:rsidR="004255A1" w:rsidRPr="00843145">
        <w:rPr>
          <w:color w:val="000000"/>
        </w:rPr>
        <w:t xml:space="preserve"> </w:t>
      </w:r>
      <w:r w:rsidRPr="00843145">
        <w:rPr>
          <w:color w:val="000000"/>
        </w:rPr>
        <w:t>are the following:</w:t>
      </w:r>
    </w:p>
    <w:p w14:paraId="04C574D5" w14:textId="77777777" w:rsidR="00D72E13" w:rsidRPr="00843145" w:rsidRDefault="00D72E13" w:rsidP="004255A1">
      <w:pPr>
        <w:jc w:val="both"/>
      </w:pPr>
    </w:p>
    <w:p w14:paraId="261FD1D8" w14:textId="3CE3BE11" w:rsidR="00D72E13" w:rsidRPr="00843145" w:rsidRDefault="00943FA7" w:rsidP="004255A1">
      <w:pPr>
        <w:jc w:val="both"/>
      </w:pPr>
      <w:r w:rsidRPr="00843145">
        <w:rPr>
          <w:color w:val="000000"/>
        </w:rPr>
        <w:t>Class</w:t>
      </w:r>
      <w:r w:rsidR="004255A1" w:rsidRPr="00843145">
        <w:rPr>
          <w:color w:val="000000"/>
        </w:rPr>
        <w:t> </w:t>
      </w:r>
      <w:r w:rsidRPr="00843145">
        <w:rPr>
          <w:color w:val="000000"/>
        </w:rPr>
        <w:t xml:space="preserve">14: </w:t>
      </w:r>
      <w:r w:rsidRPr="00843145">
        <w:rPr>
          <w:i/>
          <w:color w:val="000000"/>
        </w:rPr>
        <w:t xml:space="preserve">Chronometric instruments; </w:t>
      </w:r>
      <w:r w:rsidR="004255A1" w:rsidRPr="00843145">
        <w:rPr>
          <w:i/>
          <w:color w:val="000000"/>
        </w:rPr>
        <w:t>gemstones, pearls and precious metals, and imitations thereof; jewellery; jewellery boxes an</w:t>
      </w:r>
      <w:r w:rsidRPr="00843145">
        <w:rPr>
          <w:i/>
          <w:color w:val="000000"/>
        </w:rPr>
        <w:t>d watch boxes.</w:t>
      </w:r>
    </w:p>
    <w:p w14:paraId="54E4EA1C" w14:textId="77777777" w:rsidR="004255A1" w:rsidRPr="00843145" w:rsidRDefault="004255A1" w:rsidP="004255A1">
      <w:pPr>
        <w:jc w:val="both"/>
        <w:rPr>
          <w:color w:val="000000"/>
        </w:rPr>
      </w:pPr>
    </w:p>
    <w:p w14:paraId="2DC2035E" w14:textId="6A4D64BD" w:rsidR="00D72E13" w:rsidRPr="00843145" w:rsidRDefault="00943FA7" w:rsidP="004255A1">
      <w:pPr>
        <w:jc w:val="both"/>
      </w:pPr>
      <w:r w:rsidRPr="00843145">
        <w:rPr>
          <w:color w:val="000000"/>
        </w:rPr>
        <w:t>Class</w:t>
      </w:r>
      <w:r w:rsidR="004255A1" w:rsidRPr="00843145">
        <w:rPr>
          <w:color w:val="000000"/>
        </w:rPr>
        <w:t> </w:t>
      </w:r>
      <w:r w:rsidRPr="00843145">
        <w:rPr>
          <w:color w:val="000000"/>
        </w:rPr>
        <w:t xml:space="preserve">18: </w:t>
      </w:r>
      <w:r w:rsidRPr="00843145">
        <w:rPr>
          <w:i/>
          <w:color w:val="000000"/>
        </w:rPr>
        <w:t>Luggage, bags, wallets and other carriers.</w:t>
      </w:r>
    </w:p>
    <w:p w14:paraId="3A1671A3" w14:textId="77777777" w:rsidR="004255A1" w:rsidRPr="00843145" w:rsidRDefault="004255A1" w:rsidP="004255A1">
      <w:pPr>
        <w:jc w:val="both"/>
        <w:rPr>
          <w:color w:val="000000"/>
        </w:rPr>
      </w:pPr>
    </w:p>
    <w:p w14:paraId="0707F3F6" w14:textId="4E95B93F" w:rsidR="00D72E13" w:rsidRPr="00843145" w:rsidRDefault="00943FA7" w:rsidP="004255A1">
      <w:pPr>
        <w:jc w:val="both"/>
      </w:pPr>
      <w:r w:rsidRPr="00843145">
        <w:rPr>
          <w:color w:val="000000"/>
        </w:rPr>
        <w:t>Class</w:t>
      </w:r>
      <w:r w:rsidR="004255A1" w:rsidRPr="00843145">
        <w:rPr>
          <w:color w:val="000000"/>
        </w:rPr>
        <w:t> </w:t>
      </w:r>
      <w:r w:rsidRPr="00843145">
        <w:rPr>
          <w:color w:val="000000"/>
        </w:rPr>
        <w:t xml:space="preserve">25: </w:t>
      </w:r>
      <w:r w:rsidRPr="00843145">
        <w:rPr>
          <w:i/>
          <w:color w:val="000000"/>
        </w:rPr>
        <w:t xml:space="preserve">Clothing; </w:t>
      </w:r>
      <w:r w:rsidR="004255A1" w:rsidRPr="00843145">
        <w:rPr>
          <w:i/>
          <w:color w:val="000000"/>
        </w:rPr>
        <w:t xml:space="preserve">footwear; headgear; parts </w:t>
      </w:r>
      <w:r w:rsidRPr="00843145">
        <w:rPr>
          <w:i/>
          <w:color w:val="000000"/>
        </w:rPr>
        <w:t>of clothing, footwear and headgear.</w:t>
      </w:r>
    </w:p>
    <w:p w14:paraId="7B327A23" w14:textId="77777777" w:rsidR="004255A1" w:rsidRPr="00843145" w:rsidRDefault="004255A1" w:rsidP="004255A1">
      <w:pPr>
        <w:jc w:val="both"/>
        <w:rPr>
          <w:color w:val="000000"/>
        </w:rPr>
      </w:pPr>
    </w:p>
    <w:p w14:paraId="5726CA6E" w14:textId="03640B23" w:rsidR="00D72E13" w:rsidRPr="00843145" w:rsidRDefault="00943FA7" w:rsidP="004255A1">
      <w:pPr>
        <w:jc w:val="both"/>
      </w:pPr>
      <w:r w:rsidRPr="00843145">
        <w:rPr>
          <w:color w:val="000000"/>
        </w:rPr>
        <w:t>Class</w:t>
      </w:r>
      <w:r w:rsidR="004255A1" w:rsidRPr="00843145">
        <w:rPr>
          <w:color w:val="000000"/>
        </w:rPr>
        <w:t> </w:t>
      </w:r>
      <w:r w:rsidRPr="00843145">
        <w:rPr>
          <w:color w:val="000000"/>
        </w:rPr>
        <w:t xml:space="preserve">35: </w:t>
      </w:r>
      <w:r w:rsidRPr="00843145">
        <w:rPr>
          <w:i/>
          <w:color w:val="000000"/>
        </w:rPr>
        <w:t>Advertising, marketing and promotional services.</w:t>
      </w:r>
    </w:p>
    <w:p w14:paraId="27823E1B" w14:textId="77777777" w:rsidR="004255A1" w:rsidRPr="00843145" w:rsidRDefault="004255A1" w:rsidP="004255A1">
      <w:pPr>
        <w:jc w:val="both"/>
        <w:rPr>
          <w:color w:val="000000"/>
        </w:rPr>
      </w:pPr>
    </w:p>
    <w:p w14:paraId="0630C24B" w14:textId="55339658" w:rsidR="00D72E13" w:rsidRPr="00843145" w:rsidRDefault="00943FA7" w:rsidP="004255A1">
      <w:pPr>
        <w:jc w:val="both"/>
      </w:pPr>
      <w:r w:rsidRPr="00843145">
        <w:rPr>
          <w:color w:val="000000"/>
        </w:rPr>
        <w:t>Class</w:t>
      </w:r>
      <w:r w:rsidR="004255A1" w:rsidRPr="00843145">
        <w:rPr>
          <w:color w:val="000000"/>
        </w:rPr>
        <w:t> </w:t>
      </w:r>
      <w:r w:rsidRPr="00843145">
        <w:rPr>
          <w:color w:val="000000"/>
        </w:rPr>
        <w:t xml:space="preserve">42: </w:t>
      </w:r>
      <w:r w:rsidRPr="00843145">
        <w:rPr>
          <w:i/>
          <w:color w:val="000000"/>
        </w:rPr>
        <w:t>Design services.</w:t>
      </w:r>
    </w:p>
    <w:p w14:paraId="179A730B" w14:textId="77777777" w:rsidR="00D72E13" w:rsidRPr="00843145" w:rsidRDefault="00D72E13" w:rsidP="004255A1">
      <w:pPr>
        <w:jc w:val="both"/>
      </w:pPr>
    </w:p>
    <w:p w14:paraId="00239FBA" w14:textId="4BB5B1EA" w:rsidR="00D72E13" w:rsidRPr="00843145" w:rsidRDefault="00943FA7" w:rsidP="004255A1">
      <w:pPr>
        <w:jc w:val="both"/>
      </w:pPr>
      <w:bookmarkStart w:id="7" w:name="chk-paragraph-9-3-1-2_nodeId--935830737"/>
      <w:bookmarkEnd w:id="6"/>
      <w:r w:rsidRPr="00843145">
        <w:rPr>
          <w:color w:val="000000"/>
        </w:rPr>
        <w:t>An interpretation of the wording of the list of</w:t>
      </w:r>
      <w:r w:rsidR="00DE61DB" w:rsidRPr="00843145">
        <w:rPr>
          <w:color w:val="000000"/>
        </w:rPr>
        <w:t xml:space="preserve"> </w:t>
      </w:r>
      <w:r w:rsidRPr="00843145">
        <w:rPr>
          <w:color w:val="000000"/>
        </w:rPr>
        <w:t>goods and services</w:t>
      </w:r>
      <w:r w:rsidR="00DE61DB" w:rsidRPr="00843145">
        <w:rPr>
          <w:color w:val="000000"/>
        </w:rPr>
        <w:t xml:space="preserve"> </w:t>
      </w:r>
      <w:r w:rsidRPr="00843145">
        <w:rPr>
          <w:color w:val="000000"/>
        </w:rPr>
        <w:t>is required to determine the scope of protection of these</w:t>
      </w:r>
      <w:r w:rsidR="00DE61DB" w:rsidRPr="00843145">
        <w:rPr>
          <w:color w:val="000000"/>
        </w:rPr>
        <w:t xml:space="preserve"> </w:t>
      </w:r>
      <w:r w:rsidRPr="00843145">
        <w:rPr>
          <w:color w:val="000000"/>
        </w:rPr>
        <w:t>goods and services.</w:t>
      </w:r>
    </w:p>
    <w:p w14:paraId="71B340C4" w14:textId="77777777" w:rsidR="00D72E13" w:rsidRPr="00843145" w:rsidRDefault="00D72E13" w:rsidP="004255A1">
      <w:pPr>
        <w:jc w:val="both"/>
      </w:pPr>
    </w:p>
    <w:p w14:paraId="2E1B6A45" w14:textId="61671485" w:rsidR="00D72E13" w:rsidRPr="00843145" w:rsidRDefault="00943FA7" w:rsidP="004255A1">
      <w:pPr>
        <w:jc w:val="both"/>
      </w:pPr>
      <w:r w:rsidRPr="00843145">
        <w:rPr>
          <w:color w:val="000000"/>
        </w:rPr>
        <w:t>The term</w:t>
      </w:r>
      <w:r w:rsidR="00CD164C" w:rsidRPr="00843145">
        <w:rPr>
          <w:color w:val="000000"/>
        </w:rPr>
        <w:t xml:space="preserve">s </w:t>
      </w:r>
      <w:r w:rsidRPr="00843145">
        <w:rPr>
          <w:color w:val="000000"/>
        </w:rPr>
        <w:t>‘</w:t>
      </w:r>
      <w:r w:rsidR="00DE61DB" w:rsidRPr="00843145">
        <w:rPr>
          <w:color w:val="000000"/>
        </w:rPr>
        <w:t>including</w:t>
      </w:r>
      <w:r w:rsidRPr="00843145">
        <w:rPr>
          <w:color w:val="000000"/>
        </w:rPr>
        <w:t>’</w:t>
      </w:r>
      <w:r w:rsidR="00CD164C" w:rsidRPr="00843145">
        <w:rPr>
          <w:color w:val="000000"/>
        </w:rPr>
        <w:t xml:space="preserve"> and </w:t>
      </w:r>
      <w:r w:rsidRPr="00843145">
        <w:rPr>
          <w:color w:val="000000"/>
        </w:rPr>
        <w:t>‘such as’, used in the</w:t>
      </w:r>
      <w:r w:rsidR="00DE61DB" w:rsidRPr="00843145">
        <w:rPr>
          <w:color w:val="000000"/>
        </w:rPr>
        <w:t xml:space="preserve"> </w:t>
      </w:r>
      <w:r w:rsidRPr="00843145">
        <w:rPr>
          <w:color w:val="000000"/>
        </w:rPr>
        <w:t>opponent’s</w:t>
      </w:r>
      <w:r w:rsidR="00DE61DB" w:rsidRPr="00843145">
        <w:rPr>
          <w:color w:val="000000"/>
        </w:rPr>
        <w:t xml:space="preserve"> </w:t>
      </w:r>
      <w:r w:rsidRPr="00843145">
        <w:rPr>
          <w:color w:val="000000"/>
        </w:rPr>
        <w:t>list of</w:t>
      </w:r>
      <w:r w:rsidR="00DE61DB" w:rsidRPr="00843145">
        <w:rPr>
          <w:color w:val="000000"/>
        </w:rPr>
        <w:t xml:space="preserve"> </w:t>
      </w:r>
      <w:r w:rsidRPr="00843145">
        <w:rPr>
          <w:color w:val="000000"/>
        </w:rPr>
        <w:t>goods and service</w:t>
      </w:r>
      <w:r w:rsidR="008372AE" w:rsidRPr="00843145">
        <w:rPr>
          <w:color w:val="000000"/>
        </w:rPr>
        <w:t>s</w:t>
      </w:r>
      <w:r w:rsidRPr="00843145">
        <w:rPr>
          <w:color w:val="000000"/>
        </w:rPr>
        <w:t>, indicate that the specific</w:t>
      </w:r>
      <w:r w:rsidR="00DE61DB" w:rsidRPr="00843145">
        <w:rPr>
          <w:color w:val="000000"/>
        </w:rPr>
        <w:t xml:space="preserve"> </w:t>
      </w:r>
      <w:r w:rsidRPr="00843145">
        <w:rPr>
          <w:color w:val="000000"/>
        </w:rPr>
        <w:t>goods and services</w:t>
      </w:r>
      <w:r w:rsidR="00DE61DB" w:rsidRPr="00843145">
        <w:rPr>
          <w:color w:val="000000"/>
        </w:rPr>
        <w:t xml:space="preserve"> </w:t>
      </w:r>
      <w:r w:rsidRPr="00843145">
        <w:rPr>
          <w:color w:val="000000"/>
        </w:rPr>
        <w:t xml:space="preserve">are only examples of items included in the category and that protection is not restricted to them. In other words, </w:t>
      </w:r>
      <w:r w:rsidR="008372AE" w:rsidRPr="00843145">
        <w:rPr>
          <w:color w:val="000000"/>
        </w:rPr>
        <w:t>they</w:t>
      </w:r>
      <w:r w:rsidRPr="00843145">
        <w:rPr>
          <w:color w:val="000000"/>
        </w:rPr>
        <w:t xml:space="preserve"> introduce a non-exhaustive list of examples (09/04/2003, T</w:t>
      </w:r>
      <w:r w:rsidRPr="00843145">
        <w:rPr>
          <w:rFonts w:ascii="Cambria Math" w:hAnsi="Cambria Math"/>
          <w:color w:val="000000"/>
        </w:rPr>
        <w:t>‑</w:t>
      </w:r>
      <w:r w:rsidRPr="00843145">
        <w:rPr>
          <w:color w:val="000000"/>
        </w:rPr>
        <w:t xml:space="preserve">224/01, NU-TRIDE / TUFFTRIDE, </w:t>
      </w:r>
      <w:proofErr w:type="gramStart"/>
      <w:r w:rsidRPr="00843145">
        <w:rPr>
          <w:color w:val="000000"/>
        </w:rPr>
        <w:t>EU:T</w:t>
      </w:r>
      <w:proofErr w:type="gramEnd"/>
      <w:r w:rsidRPr="00843145">
        <w:rPr>
          <w:color w:val="000000"/>
        </w:rPr>
        <w:t>:2003:107).</w:t>
      </w:r>
    </w:p>
    <w:p w14:paraId="48BB852E" w14:textId="38DDF9EC" w:rsidR="00D72E13" w:rsidRPr="00843145" w:rsidRDefault="00D72E13" w:rsidP="004255A1">
      <w:pPr>
        <w:jc w:val="both"/>
      </w:pPr>
    </w:p>
    <w:p w14:paraId="285D6AAB" w14:textId="358689C3" w:rsidR="00D72E13" w:rsidRPr="00843145" w:rsidRDefault="00943FA7" w:rsidP="004255A1">
      <w:pPr>
        <w:jc w:val="both"/>
      </w:pPr>
      <w:r w:rsidRPr="00843145">
        <w:rPr>
          <w:color w:val="000000"/>
        </w:rPr>
        <w:t xml:space="preserve">As a preliminary remark, it is to be noted that according to Article 33(7) EUTMR, goods or services are not regarded as being </w:t>
      </w:r>
      <w:proofErr w:type="gramStart"/>
      <w:r w:rsidRPr="00843145">
        <w:rPr>
          <w:color w:val="000000"/>
        </w:rPr>
        <w:t>similar to</w:t>
      </w:r>
      <w:proofErr w:type="gramEnd"/>
      <w:r w:rsidRPr="00843145">
        <w:rPr>
          <w:color w:val="000000"/>
        </w:rPr>
        <w:t xml:space="preserve"> or dissimilar from each other on the ground that they appear in the same or different classes under the Nice Classification.</w:t>
      </w:r>
    </w:p>
    <w:p w14:paraId="7F409255" w14:textId="6B3AC85A" w:rsidR="004255A1" w:rsidRPr="00843145" w:rsidRDefault="004255A1" w:rsidP="004255A1">
      <w:pPr>
        <w:jc w:val="both"/>
        <w:rPr>
          <w:color w:val="000000"/>
        </w:rPr>
      </w:pPr>
      <w:bookmarkStart w:id="8" w:name="chk-paragraph-9-3-1-4_nodeId-2106898293"/>
      <w:bookmarkEnd w:id="7"/>
    </w:p>
    <w:p w14:paraId="5602F8CF" w14:textId="463E7E46" w:rsidR="00D72E13" w:rsidRPr="00843145" w:rsidRDefault="00943FA7" w:rsidP="004255A1">
      <w:pPr>
        <w:jc w:val="both"/>
      </w:pPr>
      <w:r w:rsidRPr="00843145">
        <w:rPr>
          <w:color w:val="000000"/>
        </w:rPr>
        <w:t xml:space="preserve">The relevant factors relating to the comparison of the goods or services include, inter alia, their nature, their intended purpose, their method of use and whether they are in competition with each other or are complementary (‘the Canon criteria’). It is also necessary to </w:t>
      </w:r>
      <w:proofErr w:type="gramStart"/>
      <w:r w:rsidRPr="00843145">
        <w:rPr>
          <w:color w:val="000000"/>
        </w:rPr>
        <w:t>take into account</w:t>
      </w:r>
      <w:proofErr w:type="gramEnd"/>
      <w:r w:rsidRPr="00843145">
        <w:rPr>
          <w:color w:val="000000"/>
        </w:rPr>
        <w:t>, besides the Canon criteria, other factors, namely distribution channels, the relevant public and the usual origin of the goods or services (02/06/2021, T</w:t>
      </w:r>
      <w:r w:rsidRPr="00843145">
        <w:rPr>
          <w:rFonts w:ascii="Cambria Math" w:hAnsi="Cambria Math"/>
          <w:color w:val="000000"/>
        </w:rPr>
        <w:t>‑</w:t>
      </w:r>
      <w:r w:rsidRPr="00843145">
        <w:rPr>
          <w:color w:val="000000"/>
        </w:rPr>
        <w:t xml:space="preserve">177/20, Hispano Suiza / Hispano Suiza, </w:t>
      </w:r>
      <w:proofErr w:type="gramStart"/>
      <w:r w:rsidRPr="00843145">
        <w:rPr>
          <w:color w:val="000000"/>
        </w:rPr>
        <w:t>EU:T</w:t>
      </w:r>
      <w:proofErr w:type="gramEnd"/>
      <w:r w:rsidRPr="00843145">
        <w:rPr>
          <w:color w:val="000000"/>
        </w:rPr>
        <w:t>:2021:312, §</w:t>
      </w:r>
      <w:r w:rsidR="008372AE" w:rsidRPr="00843145">
        <w:rPr>
          <w:color w:val="000000"/>
        </w:rPr>
        <w:t> </w:t>
      </w:r>
      <w:r w:rsidRPr="00843145">
        <w:rPr>
          <w:color w:val="000000"/>
        </w:rPr>
        <w:t>21-22).</w:t>
      </w:r>
    </w:p>
    <w:p w14:paraId="025B60D9" w14:textId="77777777" w:rsidR="00D72E13" w:rsidRPr="00843145" w:rsidRDefault="00D72E13" w:rsidP="004255A1">
      <w:pPr>
        <w:jc w:val="both"/>
      </w:pPr>
    </w:p>
    <w:p w14:paraId="069F1EAE" w14:textId="36E8C259" w:rsidR="00D72E13" w:rsidRPr="00843145" w:rsidRDefault="00943FA7" w:rsidP="004255A1">
      <w:pPr>
        <w:jc w:val="both"/>
      </w:pPr>
      <w:r w:rsidRPr="00843145">
        <w:rPr>
          <w:b/>
          <w:color w:val="000000"/>
        </w:rPr>
        <w:t>Contested goods in Class</w:t>
      </w:r>
      <w:r w:rsidR="006F5F3C" w:rsidRPr="00843145">
        <w:rPr>
          <w:b/>
          <w:color w:val="000000"/>
        </w:rPr>
        <w:t> </w:t>
      </w:r>
      <w:r w:rsidRPr="00843145">
        <w:rPr>
          <w:b/>
          <w:color w:val="000000"/>
        </w:rPr>
        <w:t>14</w:t>
      </w:r>
    </w:p>
    <w:p w14:paraId="2A9B305F" w14:textId="77777777" w:rsidR="004255A1" w:rsidRPr="00843145" w:rsidRDefault="004255A1" w:rsidP="004255A1">
      <w:pPr>
        <w:jc w:val="both"/>
        <w:rPr>
          <w:color w:val="000000"/>
        </w:rPr>
      </w:pPr>
    </w:p>
    <w:p w14:paraId="226D0C24" w14:textId="09DEFE15" w:rsidR="004255A1" w:rsidRPr="00843145" w:rsidRDefault="00943FA7" w:rsidP="0049372E">
      <w:pPr>
        <w:jc w:val="both"/>
        <w:rPr>
          <w:color w:val="000000"/>
        </w:rPr>
      </w:pPr>
      <w:r w:rsidRPr="00843145">
        <w:rPr>
          <w:color w:val="000000"/>
        </w:rPr>
        <w:t xml:space="preserve">The contested </w:t>
      </w:r>
      <w:r w:rsidRPr="00843145">
        <w:rPr>
          <w:i/>
          <w:color w:val="000000"/>
        </w:rPr>
        <w:t xml:space="preserve">chronometric </w:t>
      </w:r>
      <w:proofErr w:type="gramStart"/>
      <w:r w:rsidRPr="00843145">
        <w:rPr>
          <w:i/>
          <w:color w:val="000000"/>
        </w:rPr>
        <w:t>instruments</w:t>
      </w:r>
      <w:r w:rsidR="0049372E" w:rsidRPr="00843145">
        <w:rPr>
          <w:i/>
          <w:color w:val="000000"/>
        </w:rPr>
        <w:t>;</w:t>
      </w:r>
      <w:proofErr w:type="gramEnd"/>
      <w:r w:rsidRPr="00843145">
        <w:rPr>
          <w:color w:val="000000"/>
        </w:rPr>
        <w:t xml:space="preserve"> </w:t>
      </w:r>
      <w:r w:rsidR="0049372E" w:rsidRPr="00843145">
        <w:rPr>
          <w:i/>
          <w:color w:val="000000"/>
        </w:rPr>
        <w:t>jewellery</w:t>
      </w:r>
      <w:r w:rsidR="0049372E" w:rsidRPr="00843145">
        <w:rPr>
          <w:color w:val="000000"/>
        </w:rPr>
        <w:t xml:space="preserve"> </w:t>
      </w:r>
      <w:r w:rsidRPr="00843145">
        <w:rPr>
          <w:color w:val="000000"/>
        </w:rPr>
        <w:t xml:space="preserve">are </w:t>
      </w:r>
      <w:r w:rsidRPr="00843145">
        <w:rPr>
          <w:color w:val="000000"/>
          <w:u w:val="single"/>
        </w:rPr>
        <w:t>identical</w:t>
      </w:r>
      <w:r w:rsidR="0049372E" w:rsidRPr="00843145">
        <w:rPr>
          <w:color w:val="000000"/>
          <w:u w:val="single"/>
        </w:rPr>
        <w:t>ly</w:t>
      </w:r>
      <w:r w:rsidRPr="00843145">
        <w:rPr>
          <w:color w:val="000000"/>
        </w:rPr>
        <w:t xml:space="preserve"> </w:t>
      </w:r>
      <w:r w:rsidR="0049372E" w:rsidRPr="00843145">
        <w:rPr>
          <w:color w:val="000000"/>
        </w:rPr>
        <w:t xml:space="preserve">contained in the </w:t>
      </w:r>
      <w:r w:rsidR="008372AE" w:rsidRPr="00843145">
        <w:rPr>
          <w:color w:val="000000"/>
        </w:rPr>
        <w:t xml:space="preserve">opponent's </w:t>
      </w:r>
      <w:r w:rsidR="0049372E" w:rsidRPr="00843145">
        <w:rPr>
          <w:color w:val="000000"/>
        </w:rPr>
        <w:t>list of goods of earlier mark</w:t>
      </w:r>
      <w:r w:rsidR="008372AE" w:rsidRPr="00843145">
        <w:rPr>
          <w:color w:val="000000"/>
        </w:rPr>
        <w:t> </w:t>
      </w:r>
      <w:r w:rsidR="0049372E" w:rsidRPr="00843145">
        <w:rPr>
          <w:color w:val="000000"/>
        </w:rPr>
        <w:t>1.</w:t>
      </w:r>
    </w:p>
    <w:p w14:paraId="5ECDC920" w14:textId="77777777" w:rsidR="0049372E" w:rsidRPr="00843145" w:rsidRDefault="0049372E" w:rsidP="0049372E">
      <w:pPr>
        <w:jc w:val="both"/>
        <w:rPr>
          <w:color w:val="000000"/>
        </w:rPr>
      </w:pPr>
    </w:p>
    <w:p w14:paraId="66C80E5E" w14:textId="2BF7D3C0" w:rsidR="00D72E13" w:rsidRPr="00843145" w:rsidRDefault="00943FA7" w:rsidP="004255A1">
      <w:pPr>
        <w:jc w:val="both"/>
      </w:pPr>
      <w:r w:rsidRPr="00843145">
        <w:rPr>
          <w:color w:val="000000"/>
        </w:rPr>
        <w:t xml:space="preserve">The contested </w:t>
      </w:r>
      <w:r w:rsidRPr="00843145">
        <w:rPr>
          <w:i/>
          <w:color w:val="000000"/>
        </w:rPr>
        <w:t>watch boxes</w:t>
      </w:r>
      <w:r w:rsidRPr="00843145">
        <w:rPr>
          <w:color w:val="000000"/>
        </w:rPr>
        <w:t xml:space="preserve"> are included in</w:t>
      </w:r>
      <w:r w:rsidR="00264816" w:rsidRPr="00843145">
        <w:rPr>
          <w:color w:val="000000"/>
        </w:rPr>
        <w:t>, or overlap with,</w:t>
      </w:r>
      <w:r w:rsidRPr="00843145">
        <w:rPr>
          <w:color w:val="000000"/>
        </w:rPr>
        <w:t xml:space="preserve"> the opponent's </w:t>
      </w:r>
      <w:r w:rsidR="0049372E" w:rsidRPr="00843145">
        <w:rPr>
          <w:i/>
          <w:color w:val="000000"/>
        </w:rPr>
        <w:t>caskets and cases for horological articles</w:t>
      </w:r>
      <w:r w:rsidR="0049372E" w:rsidRPr="00843145">
        <w:rPr>
          <w:color w:val="000000"/>
        </w:rPr>
        <w:t xml:space="preserve"> </w:t>
      </w:r>
      <w:r w:rsidRPr="00843145">
        <w:rPr>
          <w:color w:val="000000"/>
        </w:rPr>
        <w:t xml:space="preserve">of earlier mark 1. Therefore, they are </w:t>
      </w:r>
      <w:r w:rsidRPr="00843145">
        <w:rPr>
          <w:color w:val="000000"/>
          <w:u w:val="single"/>
        </w:rPr>
        <w:t>identical</w:t>
      </w:r>
      <w:r w:rsidRPr="00843145">
        <w:rPr>
          <w:color w:val="000000"/>
        </w:rPr>
        <w:t>.</w:t>
      </w:r>
    </w:p>
    <w:p w14:paraId="599D845F" w14:textId="77777777" w:rsidR="004255A1" w:rsidRPr="00843145" w:rsidRDefault="004255A1" w:rsidP="004255A1">
      <w:pPr>
        <w:jc w:val="both"/>
        <w:rPr>
          <w:color w:val="000000"/>
        </w:rPr>
      </w:pPr>
    </w:p>
    <w:p w14:paraId="321164DF" w14:textId="102F40EB" w:rsidR="00FC2C8B" w:rsidRPr="00843145" w:rsidRDefault="00FC2C8B" w:rsidP="009F16DD">
      <w:pPr>
        <w:jc w:val="both"/>
        <w:rPr>
          <w:color w:val="000000"/>
        </w:rPr>
      </w:pPr>
      <w:r w:rsidRPr="00843145">
        <w:rPr>
          <w:color w:val="000000"/>
        </w:rPr>
        <w:t xml:space="preserve">The contested </w:t>
      </w:r>
      <w:r w:rsidRPr="00843145">
        <w:rPr>
          <w:i/>
          <w:color w:val="000000"/>
        </w:rPr>
        <w:t>jewellery boxes</w:t>
      </w:r>
      <w:r w:rsidRPr="00843145">
        <w:rPr>
          <w:color w:val="000000"/>
        </w:rPr>
        <w:t xml:space="preserve"> are </w:t>
      </w:r>
      <w:r w:rsidR="009F16DD" w:rsidRPr="00843145">
        <w:rPr>
          <w:color w:val="000000"/>
        </w:rPr>
        <w:t xml:space="preserve">meant to store </w:t>
      </w:r>
      <w:r w:rsidRPr="00843145">
        <w:rPr>
          <w:color w:val="000000"/>
        </w:rPr>
        <w:t xml:space="preserve">the opponent's </w:t>
      </w:r>
      <w:proofErr w:type="spellStart"/>
      <w:r w:rsidRPr="00843145">
        <w:rPr>
          <w:i/>
          <w:color w:val="000000"/>
        </w:rPr>
        <w:t>jewelery</w:t>
      </w:r>
      <w:proofErr w:type="spellEnd"/>
      <w:r w:rsidRPr="00843145">
        <w:rPr>
          <w:color w:val="000000"/>
        </w:rPr>
        <w:t xml:space="preserve"> of earlier mark 1</w:t>
      </w:r>
      <w:r w:rsidR="001355A3" w:rsidRPr="00843145">
        <w:rPr>
          <w:color w:val="000000"/>
        </w:rPr>
        <w:t>. Therefore, the</w:t>
      </w:r>
      <w:r w:rsidR="00B80B29" w:rsidRPr="00843145">
        <w:rPr>
          <w:color w:val="000000"/>
        </w:rPr>
        <w:t>y</w:t>
      </w:r>
      <w:r w:rsidR="001355A3" w:rsidRPr="00843145">
        <w:rPr>
          <w:color w:val="000000"/>
        </w:rPr>
        <w:t xml:space="preserve"> are complementary. The</w:t>
      </w:r>
      <w:r w:rsidR="00B80B29" w:rsidRPr="00843145">
        <w:rPr>
          <w:color w:val="000000"/>
        </w:rPr>
        <w:t>se</w:t>
      </w:r>
      <w:r w:rsidR="001355A3" w:rsidRPr="00843145">
        <w:rPr>
          <w:color w:val="000000"/>
        </w:rPr>
        <w:t xml:space="preserve"> goods are directed at the same consumers and commonly share the distribution channels</w:t>
      </w:r>
      <w:r w:rsidR="00816AE9" w:rsidRPr="00843145">
        <w:rPr>
          <w:color w:val="000000"/>
        </w:rPr>
        <w:t>.</w:t>
      </w:r>
      <w:r w:rsidR="001355A3" w:rsidRPr="00843145">
        <w:rPr>
          <w:color w:val="000000"/>
        </w:rPr>
        <w:t xml:space="preserve"> </w:t>
      </w:r>
      <w:r w:rsidR="009F16DD" w:rsidRPr="00843145">
        <w:rPr>
          <w:color w:val="000000"/>
        </w:rPr>
        <w:t xml:space="preserve">Therefore, they are </w:t>
      </w:r>
      <w:r w:rsidR="009F16DD" w:rsidRPr="00843145">
        <w:rPr>
          <w:color w:val="000000"/>
          <w:u w:val="single"/>
        </w:rPr>
        <w:t>similar</w:t>
      </w:r>
      <w:r w:rsidRPr="00843145">
        <w:rPr>
          <w:color w:val="000000"/>
        </w:rPr>
        <w:t>.</w:t>
      </w:r>
    </w:p>
    <w:p w14:paraId="7F7DEEDD" w14:textId="77777777" w:rsidR="00816AE9" w:rsidRPr="00843145" w:rsidRDefault="00816AE9" w:rsidP="009F16DD">
      <w:pPr>
        <w:jc w:val="both"/>
      </w:pPr>
    </w:p>
    <w:p w14:paraId="4F341AA9" w14:textId="7173A3F0" w:rsidR="00D72E13" w:rsidRPr="00843145" w:rsidRDefault="00943FA7" w:rsidP="004255A1">
      <w:pPr>
        <w:jc w:val="both"/>
      </w:pPr>
      <w:r w:rsidRPr="00843145">
        <w:rPr>
          <w:color w:val="000000"/>
        </w:rPr>
        <w:lastRenderedPageBreak/>
        <w:t xml:space="preserve">The contested </w:t>
      </w:r>
      <w:r w:rsidRPr="00843145">
        <w:rPr>
          <w:i/>
          <w:color w:val="000000"/>
        </w:rPr>
        <w:t>gemstones</w:t>
      </w:r>
      <w:r w:rsidR="008D59EF" w:rsidRPr="00843145">
        <w:rPr>
          <w:i/>
          <w:color w:val="000000"/>
        </w:rPr>
        <w:t>, pearls</w:t>
      </w:r>
      <w:r w:rsidR="00106D20" w:rsidRPr="00843145">
        <w:rPr>
          <w:i/>
          <w:color w:val="000000"/>
        </w:rPr>
        <w:t xml:space="preserve"> and imitations thereof</w:t>
      </w:r>
      <w:r w:rsidRPr="00843145">
        <w:rPr>
          <w:i/>
          <w:color w:val="000000"/>
        </w:rPr>
        <w:t xml:space="preserve"> </w:t>
      </w:r>
      <w:r w:rsidRPr="00843145">
        <w:rPr>
          <w:color w:val="000000"/>
        </w:rPr>
        <w:t xml:space="preserve">are </w:t>
      </w:r>
      <w:proofErr w:type="gramStart"/>
      <w:r w:rsidRPr="00843145">
        <w:rPr>
          <w:color w:val="000000"/>
          <w:u w:val="single"/>
        </w:rPr>
        <w:t>similar</w:t>
      </w:r>
      <w:r w:rsidRPr="00843145">
        <w:rPr>
          <w:color w:val="000000"/>
        </w:rPr>
        <w:t xml:space="preserve"> to</w:t>
      </w:r>
      <w:proofErr w:type="gramEnd"/>
      <w:r w:rsidRPr="00843145">
        <w:rPr>
          <w:color w:val="000000"/>
        </w:rPr>
        <w:t xml:space="preserve"> the opponent's </w:t>
      </w:r>
      <w:proofErr w:type="spellStart"/>
      <w:r w:rsidRPr="00843145">
        <w:rPr>
          <w:i/>
          <w:color w:val="000000"/>
        </w:rPr>
        <w:t>jewelery</w:t>
      </w:r>
      <w:proofErr w:type="spellEnd"/>
      <w:r w:rsidRPr="00843145">
        <w:rPr>
          <w:color w:val="000000"/>
        </w:rPr>
        <w:t xml:space="preserve"> of earlier mark </w:t>
      </w:r>
      <w:r w:rsidR="004F53EC" w:rsidRPr="00843145">
        <w:rPr>
          <w:color w:val="000000"/>
        </w:rPr>
        <w:t>1</w:t>
      </w:r>
      <w:r w:rsidRPr="00843145">
        <w:rPr>
          <w:color w:val="000000"/>
        </w:rPr>
        <w:t xml:space="preserve"> </w:t>
      </w:r>
      <w:r w:rsidR="009362F8" w:rsidRPr="00843145">
        <w:rPr>
          <w:color w:val="000000"/>
        </w:rPr>
        <w:t>as they usually coincide in producer, relevant public and distribution channels</w:t>
      </w:r>
      <w:r w:rsidRPr="00843145">
        <w:rPr>
          <w:color w:val="000000"/>
        </w:rPr>
        <w:t>.</w:t>
      </w:r>
    </w:p>
    <w:p w14:paraId="32BEEFCF" w14:textId="77777777" w:rsidR="00D72E13" w:rsidRPr="00843145" w:rsidRDefault="00D72E13" w:rsidP="004255A1">
      <w:pPr>
        <w:jc w:val="both"/>
      </w:pPr>
    </w:p>
    <w:p w14:paraId="5E7344FF" w14:textId="4437C835" w:rsidR="00D5280A" w:rsidRPr="00843145" w:rsidRDefault="00D0615F" w:rsidP="00D5280A">
      <w:pPr>
        <w:jc w:val="both"/>
        <w:rPr>
          <w:rFonts w:eastAsia="Times New Roman"/>
          <w:szCs w:val="22"/>
          <w:lang w:eastAsia="en-US"/>
        </w:rPr>
      </w:pPr>
      <w:r w:rsidRPr="00843145">
        <w:rPr>
          <w:color w:val="000000"/>
        </w:rPr>
        <w:t>However, the same does not apply to t</w:t>
      </w:r>
      <w:r w:rsidR="00943FA7" w:rsidRPr="00843145">
        <w:rPr>
          <w:color w:val="000000"/>
        </w:rPr>
        <w:t xml:space="preserve">he contested </w:t>
      </w:r>
      <w:r w:rsidR="009362F8" w:rsidRPr="00843145">
        <w:rPr>
          <w:i/>
          <w:color w:val="000000"/>
        </w:rPr>
        <w:t>precious metals, and imitations thereof</w:t>
      </w:r>
      <w:r w:rsidR="009362F8" w:rsidRPr="00843145">
        <w:rPr>
          <w:color w:val="000000"/>
        </w:rPr>
        <w:t xml:space="preserve"> </w:t>
      </w:r>
      <w:r w:rsidRPr="00843145">
        <w:rPr>
          <w:color w:val="000000"/>
        </w:rPr>
        <w:t xml:space="preserve">as they </w:t>
      </w:r>
      <w:r w:rsidRPr="00843145">
        <w:rPr>
          <w:rFonts w:eastAsia="Times New Roman"/>
          <w:lang w:eastAsia="en-IE"/>
        </w:rPr>
        <w:t>are basically raw materials and</w:t>
      </w:r>
      <w:r w:rsidRPr="00843145">
        <w:rPr>
          <w:bCs/>
          <w:lang w:eastAsia="en-US"/>
        </w:rPr>
        <w:t xml:space="preserve"> usually target the professional public and will not be directly addressed to end consumers who purchase</w:t>
      </w:r>
      <w:r w:rsidR="003404F0" w:rsidRPr="00843145">
        <w:rPr>
          <w:bCs/>
          <w:lang w:eastAsia="en-US"/>
        </w:rPr>
        <w:t xml:space="preserve"> the opponent’s</w:t>
      </w:r>
      <w:r w:rsidRPr="00843145">
        <w:rPr>
          <w:bCs/>
          <w:lang w:eastAsia="en-US"/>
        </w:rPr>
        <w:t xml:space="preserve"> jewellery</w:t>
      </w:r>
      <w:r w:rsidR="005E078F" w:rsidRPr="00843145">
        <w:rPr>
          <w:bCs/>
          <w:lang w:eastAsia="en-US"/>
        </w:rPr>
        <w:t xml:space="preserve"> or horological and chronometric instruments and cases and caskets therefor</w:t>
      </w:r>
      <w:r w:rsidRPr="00843145">
        <w:rPr>
          <w:rFonts w:eastAsia="Times New Roman"/>
          <w:lang w:eastAsia="en-IE"/>
        </w:rPr>
        <w:t xml:space="preserve">. </w:t>
      </w:r>
      <w:r w:rsidR="00D5280A" w:rsidRPr="00843145">
        <w:rPr>
          <w:rFonts w:eastAsia="Times New Roman"/>
          <w:szCs w:val="22"/>
          <w:lang w:eastAsia="en-US"/>
        </w:rPr>
        <w:t>According to case-law, the raw materials subjected to a transformation process are essentially different from the finished products that incorporate, or are covered by, those raw materials, in terms of nature, aim and intended purpose (03/05/2012, T</w:t>
      </w:r>
      <w:r w:rsidR="00D5280A" w:rsidRPr="00843145">
        <w:rPr>
          <w:rFonts w:eastAsia="Times New Roman"/>
          <w:szCs w:val="22"/>
          <w:lang w:eastAsia="en-US"/>
        </w:rPr>
        <w:noBreakHyphen/>
        <w:t xml:space="preserve">270/10, Karra, </w:t>
      </w:r>
      <w:proofErr w:type="gramStart"/>
      <w:r w:rsidR="00D5280A" w:rsidRPr="00843145">
        <w:rPr>
          <w:rFonts w:eastAsia="Times New Roman"/>
          <w:szCs w:val="22"/>
          <w:lang w:eastAsia="en-US"/>
        </w:rPr>
        <w:t>EU:T</w:t>
      </w:r>
      <w:proofErr w:type="gramEnd"/>
      <w:r w:rsidR="00D5280A" w:rsidRPr="00843145">
        <w:rPr>
          <w:rFonts w:eastAsia="Times New Roman"/>
          <w:szCs w:val="22"/>
          <w:lang w:eastAsia="en-US"/>
        </w:rPr>
        <w:t>:2012:212, § 53). Furthermore, they cannot be considered complementary on the ground that one is manufactured with the other; raw materials are in general intended for use in industry rather than for direct purchase by the final consumer (09/04/2014, T</w:t>
      </w:r>
      <w:r w:rsidR="00D5280A" w:rsidRPr="00843145">
        <w:rPr>
          <w:rFonts w:eastAsia="Times New Roman"/>
          <w:szCs w:val="22"/>
          <w:lang w:eastAsia="en-US"/>
        </w:rPr>
        <w:noBreakHyphen/>
        <w:t xml:space="preserve">288/12, </w:t>
      </w:r>
      <w:proofErr w:type="spellStart"/>
      <w:r w:rsidR="00D5280A" w:rsidRPr="00843145">
        <w:rPr>
          <w:rFonts w:eastAsia="Times New Roman"/>
          <w:szCs w:val="22"/>
          <w:lang w:eastAsia="en-US"/>
        </w:rPr>
        <w:t>Zytel</w:t>
      </w:r>
      <w:proofErr w:type="spellEnd"/>
      <w:r w:rsidR="00D5280A" w:rsidRPr="00843145">
        <w:rPr>
          <w:rFonts w:eastAsia="Times New Roman"/>
          <w:szCs w:val="22"/>
          <w:lang w:eastAsia="en-US"/>
        </w:rPr>
        <w:t xml:space="preserve">, </w:t>
      </w:r>
      <w:proofErr w:type="gramStart"/>
      <w:r w:rsidR="00D5280A" w:rsidRPr="00843145">
        <w:rPr>
          <w:rFonts w:eastAsia="Times New Roman"/>
          <w:szCs w:val="22"/>
          <w:lang w:eastAsia="en-US"/>
        </w:rPr>
        <w:t>EU:T</w:t>
      </w:r>
      <w:proofErr w:type="gramEnd"/>
      <w:r w:rsidR="00D5280A" w:rsidRPr="00843145">
        <w:rPr>
          <w:rFonts w:eastAsia="Times New Roman"/>
          <w:szCs w:val="22"/>
          <w:lang w:eastAsia="en-US"/>
        </w:rPr>
        <w:t>:2014:196, § 39-43).</w:t>
      </w:r>
      <w:r w:rsidR="00D5280A" w:rsidRPr="00843145">
        <w:rPr>
          <w:bCs/>
          <w:lang w:eastAsia="en-US"/>
        </w:rPr>
        <w:t xml:space="preserve"> Moreover, these goods will be available through a different, more specialised, distribution network. Consequently, unlike the </w:t>
      </w:r>
      <w:r w:rsidR="008372AE" w:rsidRPr="00843145">
        <w:rPr>
          <w:bCs/>
          <w:lang w:eastAsia="en-US"/>
        </w:rPr>
        <w:t>other</w:t>
      </w:r>
      <w:r w:rsidR="00F92800" w:rsidRPr="00843145">
        <w:rPr>
          <w:bCs/>
          <w:lang w:eastAsia="en-US"/>
        </w:rPr>
        <w:t xml:space="preserve"> contested</w:t>
      </w:r>
      <w:r w:rsidR="00D5280A" w:rsidRPr="00843145">
        <w:rPr>
          <w:bCs/>
          <w:lang w:eastAsia="en-US"/>
        </w:rPr>
        <w:t xml:space="preserve"> goods, they will not be brought together for the same purposes as the</w:t>
      </w:r>
      <w:r w:rsidR="00F92800" w:rsidRPr="00843145">
        <w:rPr>
          <w:bCs/>
          <w:lang w:eastAsia="en-US"/>
        </w:rPr>
        <w:t xml:space="preserve"> opponent’s goods in Class 14</w:t>
      </w:r>
      <w:r w:rsidR="0020624F" w:rsidRPr="00843145">
        <w:rPr>
          <w:bCs/>
          <w:lang w:eastAsia="en-US"/>
        </w:rPr>
        <w:t xml:space="preserve"> of earlier mark</w:t>
      </w:r>
      <w:r w:rsidR="008372AE" w:rsidRPr="00843145">
        <w:rPr>
          <w:bCs/>
          <w:lang w:eastAsia="en-US"/>
        </w:rPr>
        <w:t> </w:t>
      </w:r>
      <w:r w:rsidR="0020624F" w:rsidRPr="00843145">
        <w:rPr>
          <w:bCs/>
          <w:lang w:eastAsia="en-US"/>
        </w:rPr>
        <w:t>1</w:t>
      </w:r>
      <w:r w:rsidR="00D5280A" w:rsidRPr="00843145">
        <w:rPr>
          <w:bCs/>
          <w:lang w:eastAsia="en-US"/>
        </w:rPr>
        <w:t>.</w:t>
      </w:r>
      <w:r w:rsidR="00D12C65" w:rsidRPr="00843145">
        <w:rPr>
          <w:bCs/>
          <w:lang w:eastAsia="en-US"/>
        </w:rPr>
        <w:t xml:space="preserve"> Therefore, these goods are </w:t>
      </w:r>
      <w:r w:rsidR="00D12C65" w:rsidRPr="00843145">
        <w:rPr>
          <w:bCs/>
          <w:u w:val="single"/>
          <w:lang w:eastAsia="en-US"/>
        </w:rPr>
        <w:t>dissimilar</w:t>
      </w:r>
      <w:r w:rsidR="00B070DC" w:rsidRPr="00843145">
        <w:rPr>
          <w:color w:val="000000"/>
        </w:rPr>
        <w:t>.</w:t>
      </w:r>
    </w:p>
    <w:p w14:paraId="68ECA8D2" w14:textId="77777777" w:rsidR="00665B4D" w:rsidRPr="00843145" w:rsidRDefault="00665B4D" w:rsidP="00192524">
      <w:pPr>
        <w:tabs>
          <w:tab w:val="left" w:pos="8505"/>
          <w:tab w:val="left" w:pos="9214"/>
        </w:tabs>
        <w:ind w:right="188"/>
        <w:jc w:val="both"/>
        <w:rPr>
          <w:bCs/>
          <w:lang w:eastAsia="en-US"/>
        </w:rPr>
      </w:pPr>
    </w:p>
    <w:p w14:paraId="3F183536" w14:textId="1CDDB921" w:rsidR="003D7AEB" w:rsidRPr="00843145" w:rsidRDefault="003D7AEB" w:rsidP="003D7AEB">
      <w:pPr>
        <w:tabs>
          <w:tab w:val="left" w:pos="8505"/>
          <w:tab w:val="left" w:pos="9214"/>
        </w:tabs>
        <w:autoSpaceDE w:val="0"/>
        <w:autoSpaceDN w:val="0"/>
        <w:adjustRightInd w:val="0"/>
        <w:ind w:right="188"/>
        <w:jc w:val="both"/>
        <w:rPr>
          <w:rFonts w:eastAsia="Times New Roman"/>
          <w:color w:val="000000"/>
          <w:szCs w:val="22"/>
        </w:rPr>
      </w:pPr>
      <w:r w:rsidRPr="00843145">
        <w:rPr>
          <w:rFonts w:eastAsia="Times New Roman"/>
          <w:color w:val="000000"/>
          <w:szCs w:val="22"/>
        </w:rPr>
        <w:t>Alo</w:t>
      </w:r>
      <w:r w:rsidR="00E15806" w:rsidRPr="00843145">
        <w:rPr>
          <w:rFonts w:eastAsia="Times New Roman"/>
          <w:color w:val="000000"/>
          <w:szCs w:val="22"/>
        </w:rPr>
        <w:t>ng a similar line of reasoning, t</w:t>
      </w:r>
      <w:r w:rsidRPr="00843145">
        <w:rPr>
          <w:rFonts w:eastAsia="Times New Roman"/>
          <w:color w:val="000000"/>
          <w:szCs w:val="22"/>
        </w:rPr>
        <w:t>he</w:t>
      </w:r>
      <w:r w:rsidR="00E15806" w:rsidRPr="00843145">
        <w:rPr>
          <w:rFonts w:eastAsia="Times New Roman"/>
          <w:color w:val="000000"/>
          <w:szCs w:val="22"/>
        </w:rPr>
        <w:t>se</w:t>
      </w:r>
      <w:r w:rsidRPr="00843145">
        <w:rPr>
          <w:rFonts w:eastAsia="Times New Roman"/>
          <w:color w:val="000000"/>
          <w:szCs w:val="22"/>
        </w:rPr>
        <w:t xml:space="preserve"> contested goods are </w:t>
      </w:r>
      <w:r w:rsidRPr="00843145">
        <w:rPr>
          <w:rFonts w:eastAsia="Times New Roman"/>
          <w:color w:val="000000"/>
          <w:szCs w:val="22"/>
          <w:u w:val="single"/>
        </w:rPr>
        <w:t>dissimilar</w:t>
      </w:r>
      <w:r w:rsidRPr="00843145">
        <w:rPr>
          <w:rFonts w:eastAsia="Times New Roman"/>
          <w:color w:val="000000"/>
          <w:szCs w:val="22"/>
        </w:rPr>
        <w:t xml:space="preserve"> to the opponent’s goods in Classes 18 and 25</w:t>
      </w:r>
      <w:r w:rsidR="0020624F" w:rsidRPr="00843145">
        <w:t xml:space="preserve"> </w:t>
      </w:r>
      <w:r w:rsidR="0020624F" w:rsidRPr="00843145">
        <w:rPr>
          <w:rFonts w:eastAsia="Times New Roman"/>
          <w:color w:val="000000"/>
          <w:szCs w:val="22"/>
        </w:rPr>
        <w:t>of earlier mark</w:t>
      </w:r>
      <w:r w:rsidR="008372AE" w:rsidRPr="00843145">
        <w:rPr>
          <w:rFonts w:eastAsia="Times New Roman"/>
          <w:color w:val="000000"/>
          <w:szCs w:val="22"/>
        </w:rPr>
        <w:t> </w:t>
      </w:r>
      <w:r w:rsidR="0020624F" w:rsidRPr="00843145">
        <w:rPr>
          <w:rFonts w:eastAsia="Times New Roman"/>
          <w:color w:val="000000"/>
          <w:szCs w:val="22"/>
        </w:rPr>
        <w:t>1</w:t>
      </w:r>
      <w:r w:rsidRPr="00843145">
        <w:rPr>
          <w:rFonts w:eastAsia="Times New Roman"/>
          <w:color w:val="000000"/>
          <w:szCs w:val="22"/>
        </w:rPr>
        <w:t>, which have a different nature, purpose and method of use. They do not usually originate from the same producers, are not complementary or in competition and do not have the same distribution channels and sales outlets.</w:t>
      </w:r>
    </w:p>
    <w:p w14:paraId="6DDD82E9" w14:textId="77777777" w:rsidR="00192524" w:rsidRPr="00843145" w:rsidRDefault="00192524" w:rsidP="004255A1">
      <w:pPr>
        <w:jc w:val="both"/>
      </w:pPr>
    </w:p>
    <w:p w14:paraId="2A06E72A" w14:textId="4DFE9438" w:rsidR="00201C2B" w:rsidRPr="00843145" w:rsidRDefault="00201C2B" w:rsidP="00201C2B">
      <w:pPr>
        <w:jc w:val="both"/>
        <w:rPr>
          <w:bCs/>
          <w:lang w:eastAsia="en-US"/>
        </w:rPr>
      </w:pPr>
      <w:r w:rsidRPr="00843145">
        <w:rPr>
          <w:bCs/>
          <w:lang w:eastAsia="en-US"/>
        </w:rPr>
        <w:t>These</w:t>
      </w:r>
      <w:r w:rsidR="00FE4019" w:rsidRPr="00843145">
        <w:rPr>
          <w:bCs/>
          <w:lang w:eastAsia="en-US"/>
        </w:rPr>
        <w:t xml:space="preserve"> contested</w:t>
      </w:r>
      <w:r w:rsidRPr="00843145">
        <w:rPr>
          <w:bCs/>
          <w:lang w:eastAsia="en-US"/>
        </w:rPr>
        <w:t xml:space="preserve"> goods are</w:t>
      </w:r>
      <w:r w:rsidR="00FE4019" w:rsidRPr="00843145">
        <w:rPr>
          <w:bCs/>
          <w:lang w:eastAsia="en-US"/>
        </w:rPr>
        <w:t xml:space="preserve"> also</w:t>
      </w:r>
      <w:r w:rsidRPr="00843145">
        <w:rPr>
          <w:bCs/>
          <w:lang w:eastAsia="en-US"/>
        </w:rPr>
        <w:t xml:space="preserve"> </w:t>
      </w:r>
      <w:r w:rsidRPr="00843145">
        <w:rPr>
          <w:bCs/>
          <w:u w:val="single"/>
          <w:lang w:eastAsia="en-US"/>
        </w:rPr>
        <w:t>dissimilar</w:t>
      </w:r>
      <w:r w:rsidRPr="00843145">
        <w:rPr>
          <w:bCs/>
          <w:lang w:eastAsia="en-US"/>
        </w:rPr>
        <w:t xml:space="preserve"> to all the opponent’s services</w:t>
      </w:r>
      <w:r w:rsidR="00C31B6D" w:rsidRPr="00843145">
        <w:rPr>
          <w:bCs/>
          <w:lang w:eastAsia="en-US"/>
        </w:rPr>
        <w:t xml:space="preserve"> in C</w:t>
      </w:r>
      <w:r w:rsidR="00835685" w:rsidRPr="00843145">
        <w:rPr>
          <w:bCs/>
          <w:lang w:eastAsia="en-US"/>
        </w:rPr>
        <w:t>l</w:t>
      </w:r>
      <w:r w:rsidR="00C31B6D" w:rsidRPr="00843145">
        <w:rPr>
          <w:bCs/>
          <w:lang w:eastAsia="en-US"/>
        </w:rPr>
        <w:t>as</w:t>
      </w:r>
      <w:r w:rsidR="00835685" w:rsidRPr="00843145">
        <w:rPr>
          <w:bCs/>
          <w:lang w:eastAsia="en-US"/>
        </w:rPr>
        <w:t>s 35 of earlier mark</w:t>
      </w:r>
      <w:r w:rsidR="008372AE" w:rsidRPr="00843145">
        <w:rPr>
          <w:bCs/>
          <w:lang w:eastAsia="en-US"/>
        </w:rPr>
        <w:t> </w:t>
      </w:r>
      <w:r w:rsidR="00B070DC" w:rsidRPr="00843145">
        <w:rPr>
          <w:bCs/>
          <w:lang w:eastAsia="en-US"/>
        </w:rPr>
        <w:t>3</w:t>
      </w:r>
      <w:r w:rsidR="00835685" w:rsidRPr="00843145">
        <w:rPr>
          <w:bCs/>
          <w:lang w:eastAsia="en-US"/>
        </w:rPr>
        <w:t xml:space="preserve"> and</w:t>
      </w:r>
      <w:r w:rsidR="00ED76F2" w:rsidRPr="00843145">
        <w:rPr>
          <w:bCs/>
          <w:lang w:eastAsia="en-US"/>
        </w:rPr>
        <w:t xml:space="preserve"> in</w:t>
      </w:r>
      <w:r w:rsidR="00835685" w:rsidRPr="00843145">
        <w:rPr>
          <w:bCs/>
          <w:lang w:eastAsia="en-US"/>
        </w:rPr>
        <w:t xml:space="preserve"> Class 42 of earlier mark</w:t>
      </w:r>
      <w:r w:rsidR="008372AE" w:rsidRPr="00843145">
        <w:rPr>
          <w:bCs/>
          <w:lang w:eastAsia="en-US"/>
        </w:rPr>
        <w:t> </w:t>
      </w:r>
      <w:r w:rsidR="00B070DC" w:rsidRPr="00843145">
        <w:rPr>
          <w:bCs/>
          <w:lang w:eastAsia="en-US"/>
        </w:rPr>
        <w:t>2</w:t>
      </w:r>
      <w:r w:rsidRPr="00843145">
        <w:rPr>
          <w:bCs/>
          <w:lang w:eastAsia="en-US"/>
        </w:rPr>
        <w:t xml:space="preserve"> because they have nothing in common</w:t>
      </w:r>
      <w:r w:rsidR="00B070DC" w:rsidRPr="00843145">
        <w:rPr>
          <w:bCs/>
          <w:lang w:eastAsia="en-US"/>
        </w:rPr>
        <w:t>.</w:t>
      </w:r>
      <w:r w:rsidRPr="00843145">
        <w:rPr>
          <w:bCs/>
          <w:lang w:eastAsia="en-US"/>
        </w:rPr>
        <w:t xml:space="preserve"> </w:t>
      </w:r>
      <w:r w:rsidR="00291B41" w:rsidRPr="00843145">
        <w:rPr>
          <w:bCs/>
          <w:lang w:eastAsia="en-US"/>
        </w:rPr>
        <w:t xml:space="preserve">Apart from being different in nature, since services are intangible whereas goods are tangible, they serve different needs. </w:t>
      </w:r>
      <w:r w:rsidRPr="00843145">
        <w:rPr>
          <w:bCs/>
          <w:lang w:eastAsia="en-US"/>
        </w:rPr>
        <w:t>They do not coincide in their producer/provider and do not share the same distribution channels. Furthermore, these goods are neither complementary nor in competition and they target different end users.</w:t>
      </w:r>
    </w:p>
    <w:p w14:paraId="1D41EC48" w14:textId="77777777" w:rsidR="007A6600" w:rsidRPr="00843145" w:rsidRDefault="007A6600" w:rsidP="00201C2B">
      <w:pPr>
        <w:jc w:val="both"/>
        <w:rPr>
          <w:bCs/>
          <w:lang w:eastAsia="en-US"/>
        </w:rPr>
      </w:pPr>
    </w:p>
    <w:p w14:paraId="3FD816B8" w14:textId="2EEBA157" w:rsidR="007A6600" w:rsidRPr="00843145" w:rsidRDefault="00D92669" w:rsidP="007A6600">
      <w:pPr>
        <w:jc w:val="both"/>
        <w:rPr>
          <w:lang w:val="en-IE" w:eastAsia="en-IE"/>
        </w:rPr>
      </w:pPr>
      <w:r w:rsidRPr="00843145">
        <w:rPr>
          <w:lang w:val="en-IE" w:eastAsia="en-IE"/>
        </w:rPr>
        <w:t>It is noted that t</w:t>
      </w:r>
      <w:r w:rsidR="007A6600" w:rsidRPr="00843145">
        <w:rPr>
          <w:lang w:val="en-IE" w:eastAsia="en-IE"/>
        </w:rPr>
        <w:t xml:space="preserve">he </w:t>
      </w:r>
      <w:r w:rsidR="00F81D16" w:rsidRPr="00843145">
        <w:rPr>
          <w:lang w:val="en-IE" w:eastAsia="en-IE"/>
        </w:rPr>
        <w:t>opponent’s</w:t>
      </w:r>
      <w:r w:rsidR="007A6600" w:rsidRPr="00843145">
        <w:rPr>
          <w:lang w:val="en-IE" w:eastAsia="en-IE"/>
        </w:rPr>
        <w:t xml:space="preserve"> services </w:t>
      </w:r>
      <w:r w:rsidR="00F81D16" w:rsidRPr="00843145">
        <w:rPr>
          <w:lang w:val="en-IE" w:eastAsia="en-IE"/>
        </w:rPr>
        <w:t>in Class 35 of earlier mark</w:t>
      </w:r>
      <w:r w:rsidR="008372AE" w:rsidRPr="00843145">
        <w:rPr>
          <w:lang w:val="en-IE" w:eastAsia="en-IE"/>
        </w:rPr>
        <w:t> </w:t>
      </w:r>
      <w:r w:rsidR="00F81D16" w:rsidRPr="00843145">
        <w:rPr>
          <w:lang w:val="en-IE" w:eastAsia="en-IE"/>
        </w:rPr>
        <w:t xml:space="preserve">3 include </w:t>
      </w:r>
      <w:r w:rsidR="007A6600" w:rsidRPr="00843145">
        <w:rPr>
          <w:lang w:val="en-IE" w:eastAsia="en-IE"/>
        </w:rPr>
        <w:t>retailing</w:t>
      </w:r>
      <w:r w:rsidR="00F81D16" w:rsidRPr="00843145">
        <w:rPr>
          <w:lang w:val="en-IE" w:eastAsia="en-IE"/>
        </w:rPr>
        <w:t xml:space="preserve"> </w:t>
      </w:r>
      <w:r w:rsidR="007A6600" w:rsidRPr="00843145">
        <w:rPr>
          <w:lang w:val="en-IE" w:eastAsia="en-IE"/>
        </w:rPr>
        <w:t xml:space="preserve">of various goods, </w:t>
      </w:r>
      <w:r w:rsidR="008E6B11" w:rsidRPr="00843145">
        <w:rPr>
          <w:lang w:val="en-IE" w:eastAsia="en-IE"/>
        </w:rPr>
        <w:t xml:space="preserve">ranging from </w:t>
      </w:r>
      <w:r w:rsidR="001F1E49" w:rsidRPr="00843145">
        <w:rPr>
          <w:lang w:val="en-IE" w:eastAsia="en-IE"/>
        </w:rPr>
        <w:t xml:space="preserve">foodstuffs and beverages, </w:t>
      </w:r>
      <w:r w:rsidR="00CD0703" w:rsidRPr="00843145">
        <w:rPr>
          <w:lang w:val="en-IE" w:eastAsia="en-IE"/>
        </w:rPr>
        <w:t>pri</w:t>
      </w:r>
      <w:r w:rsidR="00CB6E54" w:rsidRPr="00843145">
        <w:rPr>
          <w:lang w:val="en-IE" w:eastAsia="en-IE"/>
        </w:rPr>
        <w:t xml:space="preserve">nted matter and </w:t>
      </w:r>
      <w:r w:rsidR="001F1E49" w:rsidRPr="00843145">
        <w:rPr>
          <w:lang w:val="en-IE" w:eastAsia="en-IE"/>
        </w:rPr>
        <w:t xml:space="preserve">stationery, </w:t>
      </w:r>
      <w:r w:rsidR="008B095C" w:rsidRPr="00843145">
        <w:rPr>
          <w:lang w:val="en-IE" w:eastAsia="en-IE"/>
        </w:rPr>
        <w:t>cosmetics, chemical products, musical instruments, fireworks, computer software</w:t>
      </w:r>
      <w:r w:rsidR="005C3C2B" w:rsidRPr="00843145">
        <w:rPr>
          <w:lang w:val="en-IE" w:eastAsia="en-IE"/>
        </w:rPr>
        <w:t>,</w:t>
      </w:r>
      <w:r w:rsidR="008D65B5" w:rsidRPr="00843145">
        <w:rPr>
          <w:lang w:val="en-IE" w:eastAsia="en-IE"/>
        </w:rPr>
        <w:t xml:space="preserve"> </w:t>
      </w:r>
      <w:r w:rsidR="005C3C2B" w:rsidRPr="00843145">
        <w:rPr>
          <w:lang w:val="en-IE" w:eastAsia="en-IE"/>
        </w:rPr>
        <w:t xml:space="preserve">electronic media apparatus, jewellery, clocks, spectacles, textiles housewares, smoking products, toys, games and playthings, sport equipment, live animals, fruit, vegetables and seeds, furniture, clothing and headgear, </w:t>
      </w:r>
      <w:r w:rsidR="00CB6E54" w:rsidRPr="00843145">
        <w:rPr>
          <w:lang w:val="en-IE" w:eastAsia="en-IE"/>
        </w:rPr>
        <w:t>p</w:t>
      </w:r>
      <w:r w:rsidR="005C3C2B" w:rsidRPr="00843145">
        <w:rPr>
          <w:lang w:val="en-IE" w:eastAsia="en-IE"/>
        </w:rPr>
        <w:t>harmaceutical</w:t>
      </w:r>
      <w:r w:rsidR="00CB6E54" w:rsidRPr="00843145">
        <w:rPr>
          <w:lang w:val="en-IE" w:eastAsia="en-IE"/>
        </w:rPr>
        <w:t>s</w:t>
      </w:r>
      <w:r w:rsidR="005C3C2B" w:rsidRPr="00843145">
        <w:rPr>
          <w:lang w:val="en-IE" w:eastAsia="en-IE"/>
        </w:rPr>
        <w:t xml:space="preserve">, </w:t>
      </w:r>
      <w:r w:rsidR="00CB6E54" w:rsidRPr="00843145">
        <w:rPr>
          <w:lang w:val="en-IE" w:eastAsia="en-IE"/>
        </w:rPr>
        <w:t>a</w:t>
      </w:r>
      <w:r w:rsidR="005C3C2B" w:rsidRPr="00843145">
        <w:rPr>
          <w:lang w:val="en-IE" w:eastAsia="en-IE"/>
        </w:rPr>
        <w:t xml:space="preserve">pparatus for lighting, heating, cooking, refrigeration, water supply and sanitary installations, </w:t>
      </w:r>
      <w:r w:rsidR="00640BA7" w:rsidRPr="00843145">
        <w:rPr>
          <w:lang w:val="en-IE" w:eastAsia="en-IE"/>
        </w:rPr>
        <w:t>v</w:t>
      </w:r>
      <w:r w:rsidR="005C3C2B" w:rsidRPr="00843145">
        <w:rPr>
          <w:lang w:val="en-IE" w:eastAsia="en-IE"/>
        </w:rPr>
        <w:t xml:space="preserve">ehicles and </w:t>
      </w:r>
      <w:r w:rsidR="00640BA7" w:rsidRPr="00843145">
        <w:rPr>
          <w:lang w:val="en-IE" w:eastAsia="en-IE"/>
        </w:rPr>
        <w:t>b</w:t>
      </w:r>
      <w:r w:rsidR="005C3C2B" w:rsidRPr="00843145">
        <w:rPr>
          <w:lang w:val="en-IE" w:eastAsia="en-IE"/>
        </w:rPr>
        <w:t>atteries</w:t>
      </w:r>
      <w:r w:rsidR="007A6600" w:rsidRPr="00843145">
        <w:rPr>
          <w:lang w:val="en-IE" w:eastAsia="en-IE"/>
        </w:rPr>
        <w:t>.</w:t>
      </w:r>
    </w:p>
    <w:p w14:paraId="67EF446E" w14:textId="77777777" w:rsidR="007A6600" w:rsidRPr="00843145" w:rsidRDefault="007A6600" w:rsidP="007A6600">
      <w:pPr>
        <w:jc w:val="both"/>
        <w:rPr>
          <w:rFonts w:eastAsia="Times New Roman"/>
          <w:color w:val="000000"/>
          <w:szCs w:val="22"/>
          <w:lang w:val="en-IE" w:eastAsia="en-IE"/>
        </w:rPr>
      </w:pPr>
    </w:p>
    <w:p w14:paraId="2B587EC3" w14:textId="5950CE76" w:rsidR="007A6600" w:rsidRPr="00843145" w:rsidRDefault="007A6600" w:rsidP="00DD0BB5">
      <w:pPr>
        <w:jc w:val="both"/>
        <w:rPr>
          <w:szCs w:val="22"/>
          <w:lang w:val="en-IE" w:eastAsia="en-IE"/>
        </w:rPr>
      </w:pPr>
      <w:r w:rsidRPr="00843145">
        <w:rPr>
          <w:color w:val="000000"/>
          <w:szCs w:val="22"/>
          <w:lang w:val="en-IE" w:eastAsia="en-IE"/>
        </w:rPr>
        <w:t xml:space="preserve">Similarity between retail services of specific goods covered by one mark and other goods covered by another mark can only be found where the goods involved in the retail services and the other goods covered by the other mark are offered in the same outlets, belong to the same market sector and are of interest to the same consumers. Here these conditions are not fulfilled, </w:t>
      </w:r>
      <w:r w:rsidRPr="00843145">
        <w:rPr>
          <w:rFonts w:eastAsia="Times New Roman"/>
          <w:szCs w:val="22"/>
          <w:lang w:val="en-IE" w:eastAsia="en-IE"/>
        </w:rPr>
        <w:t xml:space="preserve">since the goods sold at retail are dissimilar to the </w:t>
      </w:r>
      <w:r w:rsidR="00182ECD" w:rsidRPr="00843145">
        <w:rPr>
          <w:szCs w:val="22"/>
          <w:lang w:val="en-IE" w:eastAsia="en-IE"/>
        </w:rPr>
        <w:t>contested</w:t>
      </w:r>
      <w:r w:rsidRPr="00843145">
        <w:rPr>
          <w:rFonts w:eastAsia="Times New Roman"/>
          <w:szCs w:val="22"/>
          <w:lang w:val="en-IE" w:eastAsia="en-IE"/>
        </w:rPr>
        <w:t xml:space="preserve"> goods</w:t>
      </w:r>
      <w:r w:rsidR="008372AE" w:rsidRPr="00843145">
        <w:rPr>
          <w:rFonts w:eastAsia="Times New Roman"/>
          <w:szCs w:val="22"/>
          <w:lang w:val="en-IE" w:eastAsia="en-IE"/>
        </w:rPr>
        <w:t xml:space="preserve"> at issue</w:t>
      </w:r>
      <w:r w:rsidRPr="00843145">
        <w:rPr>
          <w:szCs w:val="22"/>
          <w:lang w:val="en-IE" w:eastAsia="en-IE"/>
        </w:rPr>
        <w:t xml:space="preserve"> as they clearly differ by their natures and purposes. Furthermore, they do not satisfy the needs of the same public</w:t>
      </w:r>
      <w:r w:rsidR="00DD0BB5" w:rsidRPr="00843145">
        <w:rPr>
          <w:szCs w:val="22"/>
          <w:lang w:val="en-IE" w:eastAsia="en-IE"/>
        </w:rPr>
        <w:t xml:space="preserve"> and</w:t>
      </w:r>
      <w:r w:rsidRPr="00843145">
        <w:rPr>
          <w:szCs w:val="22"/>
          <w:lang w:val="en-IE" w:eastAsia="en-IE"/>
        </w:rPr>
        <w:t xml:space="preserve"> do not usually originate from the same manufacturers</w:t>
      </w:r>
      <w:r w:rsidR="00DD0BB5" w:rsidRPr="00843145">
        <w:rPr>
          <w:szCs w:val="22"/>
          <w:lang w:val="en-IE" w:eastAsia="en-IE"/>
        </w:rPr>
        <w:t>,</w:t>
      </w:r>
      <w:r w:rsidRPr="00843145">
        <w:rPr>
          <w:szCs w:val="22"/>
          <w:lang w:val="en-IE" w:eastAsia="en-IE"/>
        </w:rPr>
        <w:t xml:space="preserve"> </w:t>
      </w:r>
      <w:r w:rsidR="00DD0BB5" w:rsidRPr="00843145">
        <w:rPr>
          <w:szCs w:val="22"/>
          <w:lang w:val="en-IE" w:eastAsia="en-IE"/>
        </w:rPr>
        <w:t>n</w:t>
      </w:r>
      <w:r w:rsidRPr="00843145">
        <w:rPr>
          <w:szCs w:val="22"/>
          <w:lang w:val="en-IE" w:eastAsia="en-IE"/>
        </w:rPr>
        <w:t>or are the</w:t>
      </w:r>
      <w:r w:rsidR="00DD0BB5" w:rsidRPr="00843145">
        <w:rPr>
          <w:szCs w:val="22"/>
          <w:lang w:val="en-IE" w:eastAsia="en-IE"/>
        </w:rPr>
        <w:t>y</w:t>
      </w:r>
      <w:r w:rsidRPr="00843145">
        <w:rPr>
          <w:szCs w:val="22"/>
          <w:lang w:val="en-IE" w:eastAsia="en-IE"/>
        </w:rPr>
        <w:t xml:space="preserve"> complementary</w:t>
      </w:r>
      <w:r w:rsidR="00DD0BB5" w:rsidRPr="00843145">
        <w:rPr>
          <w:szCs w:val="22"/>
          <w:lang w:val="en-IE" w:eastAsia="en-IE"/>
        </w:rPr>
        <w:t xml:space="preserve"> or</w:t>
      </w:r>
      <w:r w:rsidRPr="00843145">
        <w:rPr>
          <w:szCs w:val="22"/>
          <w:lang w:val="en-IE" w:eastAsia="en-IE"/>
        </w:rPr>
        <w:t xml:space="preserve"> in competition.</w:t>
      </w:r>
    </w:p>
    <w:p w14:paraId="718FD00B" w14:textId="77777777" w:rsidR="008372AE" w:rsidRPr="00843145" w:rsidRDefault="008372AE" w:rsidP="00DD0BB5">
      <w:pPr>
        <w:jc w:val="both"/>
        <w:rPr>
          <w:szCs w:val="22"/>
          <w:lang w:val="en-IE" w:eastAsia="en-IE"/>
        </w:rPr>
      </w:pPr>
    </w:p>
    <w:p w14:paraId="219F1E9F" w14:textId="01AB4477" w:rsidR="008372AE" w:rsidRPr="00843145" w:rsidRDefault="008372AE" w:rsidP="00DD0BB5">
      <w:pPr>
        <w:jc w:val="both"/>
        <w:rPr>
          <w:szCs w:val="22"/>
          <w:lang w:val="en-IE" w:eastAsia="en-IE"/>
        </w:rPr>
      </w:pPr>
      <w:r w:rsidRPr="00843145">
        <w:rPr>
          <w:szCs w:val="22"/>
          <w:lang w:val="en-IE" w:eastAsia="en-IE"/>
        </w:rPr>
        <w:t>As to the opponent’s advertising services in Class 35</w:t>
      </w:r>
      <w:r w:rsidRPr="00843145">
        <w:rPr>
          <w:lang w:val="en-IE" w:eastAsia="en-IE"/>
        </w:rPr>
        <w:t xml:space="preserve"> of earlier mark 3</w:t>
      </w:r>
      <w:r w:rsidRPr="00843145">
        <w:rPr>
          <w:szCs w:val="22"/>
          <w:lang w:val="en-IE" w:eastAsia="en-IE"/>
        </w:rPr>
        <w:t xml:space="preserve">, they </w:t>
      </w:r>
      <w:r w:rsidRPr="00843145">
        <w:rPr>
          <w:rFonts w:eastAsia="Calibri"/>
          <w:szCs w:val="22"/>
          <w:lang w:eastAsia="en-US"/>
        </w:rPr>
        <w:t>consist of providing others with assistance in the sale of their goods and services by promoting their launch and/or sale, or of reinforcing a client’s position in the market and enabling them to acquire a competitive advantage through publicity</w:t>
      </w:r>
      <w:r w:rsidRPr="00843145">
        <w:rPr>
          <w:rFonts w:eastAsia="SimSun"/>
          <w:snapToGrid w:val="0"/>
          <w:szCs w:val="22"/>
          <w:lang w:eastAsia="en-US"/>
        </w:rPr>
        <w:t xml:space="preserve">. </w:t>
      </w:r>
      <w:proofErr w:type="gramStart"/>
      <w:r w:rsidRPr="00843145">
        <w:rPr>
          <w:rFonts w:eastAsia="Calibri"/>
          <w:szCs w:val="22"/>
          <w:lang w:eastAsia="en-US"/>
        </w:rPr>
        <w:t>In order to</w:t>
      </w:r>
      <w:proofErr w:type="gramEnd"/>
      <w:r w:rsidRPr="00843145">
        <w:rPr>
          <w:rFonts w:eastAsia="Calibri"/>
          <w:szCs w:val="22"/>
          <w:lang w:eastAsia="en-US"/>
        </w:rPr>
        <w:t xml:space="preserve"> fulfil this target, many different means and products might be used. These services are provided by advertising companies, which study their client’s needs, provide all the necessary information and advice for the </w:t>
      </w:r>
      <w:r w:rsidRPr="00843145">
        <w:rPr>
          <w:rFonts w:eastAsia="Calibri"/>
          <w:szCs w:val="22"/>
          <w:lang w:eastAsia="en-US"/>
        </w:rPr>
        <w:lastRenderedPageBreak/>
        <w:t>marketing of their products and services, and create a personalised strategy regarding the advertising of their goods and services through newspapers, websites, videos, the internet, etc</w:t>
      </w:r>
      <w:r w:rsidRPr="00843145">
        <w:rPr>
          <w:rFonts w:eastAsia="SimSun"/>
          <w:snapToGrid w:val="0"/>
          <w:szCs w:val="22"/>
          <w:lang w:eastAsia="en-US"/>
        </w:rPr>
        <w:t xml:space="preserve">. </w:t>
      </w:r>
      <w:r w:rsidRPr="00843145">
        <w:rPr>
          <w:rFonts w:eastAsia="Calibri"/>
          <w:iCs/>
          <w:szCs w:val="22"/>
          <w:lang w:val="en-US" w:eastAsia="en-US"/>
        </w:rPr>
        <w:t>The nature and purpose of advertising services are fundamentally different from the manufacture of goods, including the contested goods at issue. Therefore, advertising is generally dissimilar to the goods being advertised.</w:t>
      </w:r>
    </w:p>
    <w:p w14:paraId="7D03DB39" w14:textId="77777777" w:rsidR="007A6600" w:rsidRPr="00843145" w:rsidRDefault="007A6600" w:rsidP="007A6600">
      <w:pPr>
        <w:jc w:val="both"/>
        <w:rPr>
          <w:szCs w:val="22"/>
          <w:lang w:val="en-IE" w:eastAsia="en-IE"/>
        </w:rPr>
      </w:pPr>
    </w:p>
    <w:p w14:paraId="26916496" w14:textId="7C2CA5A1" w:rsidR="00D72E13" w:rsidRPr="00843145" w:rsidRDefault="00943FA7" w:rsidP="004255A1">
      <w:pPr>
        <w:jc w:val="both"/>
      </w:pPr>
      <w:r w:rsidRPr="00843145">
        <w:rPr>
          <w:b/>
          <w:color w:val="000000"/>
        </w:rPr>
        <w:t>Contested goods in Class</w:t>
      </w:r>
      <w:r w:rsidR="00B070DC" w:rsidRPr="00843145">
        <w:rPr>
          <w:b/>
          <w:color w:val="000000"/>
        </w:rPr>
        <w:t> </w:t>
      </w:r>
      <w:r w:rsidRPr="00843145">
        <w:rPr>
          <w:b/>
          <w:color w:val="000000"/>
        </w:rPr>
        <w:t>18</w:t>
      </w:r>
    </w:p>
    <w:p w14:paraId="00399DC2" w14:textId="77777777" w:rsidR="004255A1" w:rsidRPr="00843145" w:rsidRDefault="004255A1" w:rsidP="004255A1">
      <w:pPr>
        <w:jc w:val="both"/>
        <w:rPr>
          <w:color w:val="000000"/>
        </w:rPr>
      </w:pPr>
    </w:p>
    <w:p w14:paraId="0EB718DD" w14:textId="093CF0BF" w:rsidR="007331A1" w:rsidRPr="00843145" w:rsidRDefault="00180701" w:rsidP="007331A1">
      <w:pPr>
        <w:jc w:val="both"/>
      </w:pPr>
      <w:r w:rsidRPr="00843145">
        <w:rPr>
          <w:color w:val="000000"/>
        </w:rPr>
        <w:t xml:space="preserve">The contested </w:t>
      </w:r>
      <w:proofErr w:type="gramStart"/>
      <w:r w:rsidRPr="00843145">
        <w:rPr>
          <w:i/>
          <w:color w:val="000000"/>
        </w:rPr>
        <w:t>b</w:t>
      </w:r>
      <w:r w:rsidR="007331A1" w:rsidRPr="00843145">
        <w:rPr>
          <w:i/>
          <w:color w:val="000000"/>
        </w:rPr>
        <w:t>ags;</w:t>
      </w:r>
      <w:proofErr w:type="gramEnd"/>
      <w:r w:rsidR="007331A1" w:rsidRPr="00843145">
        <w:rPr>
          <w:i/>
          <w:color w:val="000000"/>
        </w:rPr>
        <w:t xml:space="preserve"> wallets</w:t>
      </w:r>
      <w:r w:rsidR="007331A1" w:rsidRPr="00843145">
        <w:rPr>
          <w:color w:val="000000"/>
        </w:rPr>
        <w:t xml:space="preserve"> are </w:t>
      </w:r>
      <w:r w:rsidR="007331A1" w:rsidRPr="00843145">
        <w:rPr>
          <w:color w:val="000000"/>
          <w:u w:val="single"/>
        </w:rPr>
        <w:t>identically</w:t>
      </w:r>
      <w:r w:rsidR="007331A1" w:rsidRPr="00843145">
        <w:rPr>
          <w:color w:val="000000"/>
        </w:rPr>
        <w:t xml:space="preserve"> contained in </w:t>
      </w:r>
      <w:bookmarkStart w:id="9" w:name="_Hlk212638441"/>
      <w:r w:rsidRPr="00843145">
        <w:rPr>
          <w:color w:val="000000"/>
        </w:rPr>
        <w:t>the</w:t>
      </w:r>
      <w:r w:rsidR="007331A1" w:rsidRPr="00843145">
        <w:rPr>
          <w:color w:val="000000"/>
        </w:rPr>
        <w:t xml:space="preserve"> </w:t>
      </w:r>
      <w:r w:rsidR="00DA1B33" w:rsidRPr="00843145">
        <w:rPr>
          <w:color w:val="000000"/>
        </w:rPr>
        <w:t xml:space="preserve">opponent's </w:t>
      </w:r>
      <w:r w:rsidR="007331A1" w:rsidRPr="00843145">
        <w:rPr>
          <w:color w:val="000000"/>
        </w:rPr>
        <w:t>list of goods of earlier mark 1</w:t>
      </w:r>
      <w:bookmarkEnd w:id="9"/>
      <w:r w:rsidR="007331A1" w:rsidRPr="00843145">
        <w:rPr>
          <w:color w:val="000000"/>
        </w:rPr>
        <w:t>.</w:t>
      </w:r>
    </w:p>
    <w:p w14:paraId="21419A66" w14:textId="77777777" w:rsidR="007331A1" w:rsidRPr="00843145" w:rsidRDefault="007331A1" w:rsidP="007331A1">
      <w:pPr>
        <w:jc w:val="both"/>
        <w:rPr>
          <w:color w:val="000000"/>
        </w:rPr>
      </w:pPr>
    </w:p>
    <w:p w14:paraId="433A99B8" w14:textId="6809599A" w:rsidR="00D72E13" w:rsidRPr="00843145" w:rsidRDefault="00943FA7" w:rsidP="004255A1">
      <w:pPr>
        <w:jc w:val="both"/>
      </w:pPr>
      <w:r w:rsidRPr="00843145">
        <w:rPr>
          <w:color w:val="000000"/>
        </w:rPr>
        <w:t xml:space="preserve">The contested </w:t>
      </w:r>
      <w:proofErr w:type="gramStart"/>
      <w:r w:rsidR="00D807E4" w:rsidRPr="00843145">
        <w:rPr>
          <w:i/>
          <w:color w:val="000000"/>
        </w:rPr>
        <w:t>luggage;</w:t>
      </w:r>
      <w:proofErr w:type="gramEnd"/>
      <w:r w:rsidR="00D807E4" w:rsidRPr="00843145">
        <w:rPr>
          <w:color w:val="000000"/>
        </w:rPr>
        <w:t xml:space="preserve"> </w:t>
      </w:r>
      <w:r w:rsidRPr="00843145">
        <w:rPr>
          <w:i/>
          <w:color w:val="000000"/>
        </w:rPr>
        <w:t>other carriers</w:t>
      </w:r>
      <w:r w:rsidRPr="00843145">
        <w:rPr>
          <w:color w:val="000000"/>
        </w:rPr>
        <w:t xml:space="preserve"> include, </w:t>
      </w:r>
      <w:r w:rsidR="00D807E4" w:rsidRPr="00843145">
        <w:rPr>
          <w:color w:val="000000"/>
        </w:rPr>
        <w:t>or overlap with,</w:t>
      </w:r>
      <w:r w:rsidRPr="00843145">
        <w:rPr>
          <w:color w:val="000000"/>
        </w:rPr>
        <w:t xml:space="preserve"> the opponent's </w:t>
      </w:r>
      <w:r w:rsidR="00D807E4" w:rsidRPr="00843145">
        <w:rPr>
          <w:i/>
          <w:color w:val="000000"/>
        </w:rPr>
        <w:t>suitcases</w:t>
      </w:r>
      <w:r w:rsidR="00D807E4" w:rsidRPr="00843145">
        <w:rPr>
          <w:color w:val="000000"/>
        </w:rPr>
        <w:t xml:space="preserve"> of earlier mark 1. Therefore</w:t>
      </w:r>
      <w:r w:rsidRPr="00843145">
        <w:rPr>
          <w:color w:val="000000"/>
        </w:rPr>
        <w:t xml:space="preserve">, they are </w:t>
      </w:r>
      <w:r w:rsidRPr="00843145">
        <w:rPr>
          <w:color w:val="000000"/>
          <w:u w:val="single"/>
        </w:rPr>
        <w:t>identical</w:t>
      </w:r>
      <w:r w:rsidRPr="00843145">
        <w:rPr>
          <w:color w:val="000000"/>
        </w:rPr>
        <w:t>.</w:t>
      </w:r>
    </w:p>
    <w:p w14:paraId="7E9F9471" w14:textId="0C98469B" w:rsidR="004255A1" w:rsidRPr="00843145" w:rsidRDefault="004255A1" w:rsidP="004255A1">
      <w:pPr>
        <w:jc w:val="both"/>
        <w:rPr>
          <w:color w:val="000000"/>
        </w:rPr>
      </w:pPr>
    </w:p>
    <w:p w14:paraId="2C8A801A" w14:textId="4F1DA062" w:rsidR="00D72E13" w:rsidRPr="00843145" w:rsidRDefault="00943FA7" w:rsidP="004255A1">
      <w:pPr>
        <w:jc w:val="both"/>
      </w:pPr>
      <w:r w:rsidRPr="00843145">
        <w:rPr>
          <w:b/>
          <w:color w:val="000000"/>
        </w:rPr>
        <w:t>Contested goods in Class</w:t>
      </w:r>
      <w:r w:rsidR="00B070DC" w:rsidRPr="00843145">
        <w:rPr>
          <w:b/>
          <w:color w:val="000000"/>
        </w:rPr>
        <w:t> </w:t>
      </w:r>
      <w:r w:rsidRPr="00843145">
        <w:rPr>
          <w:b/>
          <w:color w:val="000000"/>
        </w:rPr>
        <w:t>25</w:t>
      </w:r>
    </w:p>
    <w:p w14:paraId="7825D19A" w14:textId="77777777" w:rsidR="004255A1" w:rsidRPr="00843145" w:rsidRDefault="004255A1" w:rsidP="004255A1">
      <w:pPr>
        <w:jc w:val="both"/>
        <w:rPr>
          <w:color w:val="000000"/>
        </w:rPr>
      </w:pPr>
    </w:p>
    <w:p w14:paraId="214AB8CB" w14:textId="6ABCC45B" w:rsidR="00D72E13" w:rsidRPr="00843145" w:rsidRDefault="00363735" w:rsidP="004255A1">
      <w:pPr>
        <w:jc w:val="both"/>
      </w:pPr>
      <w:r w:rsidRPr="00843145">
        <w:rPr>
          <w:color w:val="000000"/>
        </w:rPr>
        <w:t xml:space="preserve">The contested </w:t>
      </w:r>
      <w:r w:rsidR="00943FA7" w:rsidRPr="00843145">
        <w:rPr>
          <w:i/>
          <w:color w:val="000000"/>
        </w:rPr>
        <w:t>clothing; footwear; headgear</w:t>
      </w:r>
      <w:r w:rsidR="00943FA7" w:rsidRPr="00843145">
        <w:rPr>
          <w:color w:val="000000"/>
        </w:rPr>
        <w:t xml:space="preserve"> </w:t>
      </w:r>
      <w:proofErr w:type="gramStart"/>
      <w:r w:rsidR="00943FA7" w:rsidRPr="00843145">
        <w:rPr>
          <w:color w:val="000000"/>
        </w:rPr>
        <w:t>are</w:t>
      </w:r>
      <w:proofErr w:type="gramEnd"/>
      <w:r w:rsidR="00943FA7" w:rsidRPr="00843145">
        <w:rPr>
          <w:color w:val="000000"/>
        </w:rPr>
        <w:t xml:space="preserve"> </w:t>
      </w:r>
      <w:r w:rsidR="00943FA7" w:rsidRPr="00843145">
        <w:rPr>
          <w:color w:val="000000"/>
          <w:u w:val="single"/>
        </w:rPr>
        <w:t>identically</w:t>
      </w:r>
      <w:r w:rsidR="00943FA7" w:rsidRPr="00843145">
        <w:rPr>
          <w:color w:val="000000"/>
        </w:rPr>
        <w:t xml:space="preserve"> contained in </w:t>
      </w:r>
      <w:r w:rsidRPr="00843145">
        <w:rPr>
          <w:color w:val="000000"/>
        </w:rPr>
        <w:t xml:space="preserve">the </w:t>
      </w:r>
      <w:r w:rsidR="00DA1B33" w:rsidRPr="00843145">
        <w:rPr>
          <w:color w:val="000000"/>
        </w:rPr>
        <w:t xml:space="preserve">opponent's </w:t>
      </w:r>
      <w:r w:rsidRPr="00843145">
        <w:rPr>
          <w:color w:val="000000"/>
        </w:rPr>
        <w:t>list of goods of earlier mark 1</w:t>
      </w:r>
      <w:r w:rsidR="00943FA7" w:rsidRPr="00843145">
        <w:rPr>
          <w:color w:val="000000"/>
        </w:rPr>
        <w:t>.</w:t>
      </w:r>
    </w:p>
    <w:p w14:paraId="3E5F077E" w14:textId="77777777" w:rsidR="004255A1" w:rsidRPr="00843145" w:rsidRDefault="004255A1" w:rsidP="004255A1">
      <w:pPr>
        <w:jc w:val="both"/>
        <w:rPr>
          <w:color w:val="000000"/>
        </w:rPr>
      </w:pPr>
    </w:p>
    <w:p w14:paraId="3E283739" w14:textId="20A6B93A" w:rsidR="00DD471F" w:rsidRPr="00843145" w:rsidRDefault="00943FA7" w:rsidP="004255A1">
      <w:pPr>
        <w:jc w:val="both"/>
        <w:rPr>
          <w:color w:val="000000"/>
        </w:rPr>
      </w:pPr>
      <w:r w:rsidRPr="00843145">
        <w:rPr>
          <w:color w:val="000000"/>
        </w:rPr>
        <w:t xml:space="preserve">The contested </w:t>
      </w:r>
      <w:r w:rsidRPr="00843145">
        <w:rPr>
          <w:i/>
          <w:color w:val="000000"/>
        </w:rPr>
        <w:t>parts of clothing</w:t>
      </w:r>
      <w:r w:rsidRPr="00843145">
        <w:rPr>
          <w:color w:val="000000"/>
        </w:rPr>
        <w:t xml:space="preserve"> </w:t>
      </w:r>
      <w:r w:rsidR="00DD471F" w:rsidRPr="00843145">
        <w:rPr>
          <w:color w:val="000000"/>
        </w:rPr>
        <w:t>include goods such as bra straps, which are usually removable and can be sold separately</w:t>
      </w:r>
      <w:r w:rsidR="0088664C" w:rsidRPr="00843145">
        <w:rPr>
          <w:color w:val="000000"/>
        </w:rPr>
        <w:t xml:space="preserve"> from the opponent’s </w:t>
      </w:r>
      <w:r w:rsidR="0088664C" w:rsidRPr="00843145">
        <w:rPr>
          <w:i/>
          <w:iCs/>
          <w:color w:val="000000"/>
        </w:rPr>
        <w:t>clothing</w:t>
      </w:r>
      <w:r w:rsidR="0088664C" w:rsidRPr="00843145">
        <w:rPr>
          <w:color w:val="000000"/>
        </w:rPr>
        <w:t>, which includes brassieres</w:t>
      </w:r>
      <w:r w:rsidR="00DD471F" w:rsidRPr="00843145">
        <w:rPr>
          <w:color w:val="000000"/>
        </w:rPr>
        <w:t xml:space="preserve">. The contested </w:t>
      </w:r>
      <w:r w:rsidR="00DD471F" w:rsidRPr="00843145">
        <w:rPr>
          <w:i/>
          <w:color w:val="000000"/>
        </w:rPr>
        <w:t xml:space="preserve">parts of footwear </w:t>
      </w:r>
      <w:r w:rsidR="00DD471F" w:rsidRPr="00843145">
        <w:rPr>
          <w:color w:val="000000"/>
        </w:rPr>
        <w:t>include goods such as inner soles</w:t>
      </w:r>
      <w:r w:rsidR="00F910E4" w:rsidRPr="00843145">
        <w:rPr>
          <w:color w:val="000000"/>
        </w:rPr>
        <w:t>,</w:t>
      </w:r>
      <w:r w:rsidR="00DD471F" w:rsidRPr="00843145">
        <w:rPr>
          <w:color w:val="000000"/>
        </w:rPr>
        <w:t xml:space="preserve"> which are removable and can be sold separately from</w:t>
      </w:r>
      <w:r w:rsidR="0088664C" w:rsidRPr="00843145">
        <w:rPr>
          <w:color w:val="000000"/>
        </w:rPr>
        <w:t xml:space="preserve"> the opponent’s</w:t>
      </w:r>
      <w:r w:rsidR="00DD471F" w:rsidRPr="00843145">
        <w:rPr>
          <w:color w:val="000000"/>
        </w:rPr>
        <w:t xml:space="preserve"> </w:t>
      </w:r>
      <w:r w:rsidR="0088664C" w:rsidRPr="00843145">
        <w:rPr>
          <w:i/>
          <w:iCs/>
          <w:color w:val="000000"/>
        </w:rPr>
        <w:t>footwear</w:t>
      </w:r>
      <w:r w:rsidR="00DD471F" w:rsidRPr="00843145">
        <w:rPr>
          <w:color w:val="000000"/>
        </w:rPr>
        <w:t xml:space="preserve">. The contested </w:t>
      </w:r>
      <w:r w:rsidR="00DD471F" w:rsidRPr="00843145">
        <w:rPr>
          <w:i/>
          <w:color w:val="000000"/>
        </w:rPr>
        <w:t xml:space="preserve">parts of headgear </w:t>
      </w:r>
      <w:r w:rsidR="00DD471F" w:rsidRPr="00843145">
        <w:rPr>
          <w:color w:val="000000"/>
        </w:rPr>
        <w:t>include goods such as neck flaps, which can be sold separately as detachable parts of caps</w:t>
      </w:r>
      <w:r w:rsidR="00727B9E" w:rsidRPr="00843145">
        <w:rPr>
          <w:color w:val="000000"/>
        </w:rPr>
        <w:t>, which a</w:t>
      </w:r>
      <w:r w:rsidR="00545AD9" w:rsidRPr="00843145">
        <w:rPr>
          <w:color w:val="000000"/>
        </w:rPr>
        <w:t>re included in the opponent’s</w:t>
      </w:r>
      <w:r w:rsidR="002B50C8" w:rsidRPr="00843145">
        <w:rPr>
          <w:color w:val="000000"/>
        </w:rPr>
        <w:t xml:space="preserve"> </w:t>
      </w:r>
      <w:r w:rsidR="00EF06D7" w:rsidRPr="00843145">
        <w:rPr>
          <w:i/>
          <w:iCs/>
          <w:color w:val="000000"/>
        </w:rPr>
        <w:t>h</w:t>
      </w:r>
      <w:r w:rsidR="00C949CB" w:rsidRPr="00843145">
        <w:rPr>
          <w:i/>
          <w:iCs/>
          <w:color w:val="000000"/>
        </w:rPr>
        <w:t>eadgear</w:t>
      </w:r>
      <w:r w:rsidR="00EF06D7" w:rsidRPr="00843145">
        <w:rPr>
          <w:color w:val="000000"/>
        </w:rPr>
        <w:t>.</w:t>
      </w:r>
      <w:r w:rsidR="00C949CB" w:rsidRPr="00843145">
        <w:rPr>
          <w:color w:val="000000"/>
        </w:rPr>
        <w:t xml:space="preserve"> </w:t>
      </w:r>
      <w:r w:rsidR="00545AD9" w:rsidRPr="00843145">
        <w:rPr>
          <w:color w:val="000000"/>
        </w:rPr>
        <w:t>As such, t</w:t>
      </w:r>
      <w:r w:rsidR="00DD471F" w:rsidRPr="00843145">
        <w:rPr>
          <w:color w:val="000000"/>
        </w:rPr>
        <w:t xml:space="preserve">he </w:t>
      </w:r>
      <w:r w:rsidR="00EF06D7" w:rsidRPr="00843145">
        <w:rPr>
          <w:color w:val="000000"/>
        </w:rPr>
        <w:t xml:space="preserve">goods at issue can target the same relevant public, share the same distribution channels and be produced by the same undertakings. Furthermore, they can also be complementary to each other. </w:t>
      </w:r>
      <w:r w:rsidR="001073C0" w:rsidRPr="00843145">
        <w:rPr>
          <w:color w:val="000000"/>
        </w:rPr>
        <w:t xml:space="preserve">Therefore, they are </w:t>
      </w:r>
      <w:r w:rsidR="001073C0" w:rsidRPr="00843145">
        <w:rPr>
          <w:color w:val="000000"/>
          <w:u w:val="single"/>
        </w:rPr>
        <w:t>similar</w:t>
      </w:r>
      <w:r w:rsidR="001073C0" w:rsidRPr="00843145">
        <w:rPr>
          <w:color w:val="000000"/>
        </w:rPr>
        <w:t>.</w:t>
      </w:r>
    </w:p>
    <w:p w14:paraId="624FAB0A" w14:textId="77777777" w:rsidR="00D72E13" w:rsidRPr="00843145" w:rsidRDefault="00D72E13" w:rsidP="004255A1">
      <w:pPr>
        <w:jc w:val="both"/>
      </w:pPr>
    </w:p>
    <w:p w14:paraId="2CA44E97" w14:textId="4AB2A71F" w:rsidR="00D72E13" w:rsidRPr="00843145" w:rsidRDefault="00943FA7" w:rsidP="00583032">
      <w:pPr>
        <w:jc w:val="both"/>
      </w:pPr>
      <w:r w:rsidRPr="00843145">
        <w:rPr>
          <w:b/>
          <w:color w:val="000000"/>
        </w:rPr>
        <w:t>Contested services in Class</w:t>
      </w:r>
      <w:r w:rsidR="00B070DC" w:rsidRPr="00843145">
        <w:rPr>
          <w:b/>
          <w:color w:val="000000"/>
        </w:rPr>
        <w:t> </w:t>
      </w:r>
      <w:r w:rsidRPr="00843145">
        <w:rPr>
          <w:b/>
          <w:color w:val="000000"/>
        </w:rPr>
        <w:t>35</w:t>
      </w:r>
    </w:p>
    <w:p w14:paraId="68D3B9DF" w14:textId="77777777" w:rsidR="004255A1" w:rsidRPr="00843145" w:rsidRDefault="004255A1" w:rsidP="004255A1">
      <w:pPr>
        <w:jc w:val="both"/>
        <w:rPr>
          <w:color w:val="000000"/>
        </w:rPr>
      </w:pPr>
    </w:p>
    <w:p w14:paraId="43A1FDAB" w14:textId="2D8B3C7B" w:rsidR="00D72E13" w:rsidRPr="00843145" w:rsidRDefault="006459C7" w:rsidP="004255A1">
      <w:pPr>
        <w:jc w:val="both"/>
      </w:pPr>
      <w:r w:rsidRPr="00843145">
        <w:rPr>
          <w:color w:val="000000"/>
        </w:rPr>
        <w:t xml:space="preserve">The contested </w:t>
      </w:r>
      <w:r w:rsidR="00943FA7" w:rsidRPr="00843145">
        <w:rPr>
          <w:i/>
          <w:color w:val="000000"/>
        </w:rPr>
        <w:t>advertising</w:t>
      </w:r>
      <w:r w:rsidR="00943FA7" w:rsidRPr="00843145">
        <w:rPr>
          <w:color w:val="000000"/>
        </w:rPr>
        <w:t xml:space="preserve"> </w:t>
      </w:r>
      <w:r w:rsidRPr="00843145">
        <w:rPr>
          <w:color w:val="000000"/>
        </w:rPr>
        <w:t>is</w:t>
      </w:r>
      <w:r w:rsidR="00943FA7" w:rsidRPr="00843145">
        <w:rPr>
          <w:color w:val="000000"/>
        </w:rPr>
        <w:t xml:space="preserve"> </w:t>
      </w:r>
      <w:r w:rsidR="00943FA7" w:rsidRPr="00843145">
        <w:rPr>
          <w:color w:val="000000"/>
          <w:u w:val="single"/>
        </w:rPr>
        <w:t>identically</w:t>
      </w:r>
      <w:r w:rsidR="00943FA7" w:rsidRPr="00843145">
        <w:rPr>
          <w:color w:val="000000"/>
        </w:rPr>
        <w:t xml:space="preserve"> contained </w:t>
      </w:r>
      <w:r w:rsidRPr="00843145">
        <w:rPr>
          <w:color w:val="000000"/>
        </w:rPr>
        <w:t xml:space="preserve">in the </w:t>
      </w:r>
      <w:r w:rsidR="00583032" w:rsidRPr="00843145">
        <w:rPr>
          <w:color w:val="000000"/>
        </w:rPr>
        <w:t xml:space="preserve">opponent's </w:t>
      </w:r>
      <w:r w:rsidRPr="00843145">
        <w:rPr>
          <w:color w:val="000000"/>
        </w:rPr>
        <w:t>list of services of earlier mark 3</w:t>
      </w:r>
      <w:r w:rsidR="00943FA7" w:rsidRPr="00843145">
        <w:rPr>
          <w:color w:val="000000"/>
        </w:rPr>
        <w:t>.</w:t>
      </w:r>
    </w:p>
    <w:p w14:paraId="6D122246" w14:textId="77777777" w:rsidR="004255A1" w:rsidRPr="00843145" w:rsidRDefault="004255A1" w:rsidP="004255A1">
      <w:pPr>
        <w:jc w:val="both"/>
        <w:rPr>
          <w:color w:val="000000"/>
        </w:rPr>
      </w:pPr>
    </w:p>
    <w:p w14:paraId="24DAB4DE" w14:textId="6A8A38D5" w:rsidR="00D72E13" w:rsidRPr="00843145" w:rsidRDefault="00943FA7" w:rsidP="004255A1">
      <w:pPr>
        <w:jc w:val="both"/>
      </w:pPr>
      <w:r w:rsidRPr="00843145">
        <w:rPr>
          <w:color w:val="000000"/>
        </w:rPr>
        <w:t xml:space="preserve">The contested </w:t>
      </w:r>
      <w:proofErr w:type="gramStart"/>
      <w:r w:rsidRPr="00843145">
        <w:rPr>
          <w:i/>
          <w:color w:val="000000"/>
        </w:rPr>
        <w:t>marketing;</w:t>
      </w:r>
      <w:proofErr w:type="gramEnd"/>
      <w:r w:rsidRPr="00843145">
        <w:rPr>
          <w:i/>
          <w:color w:val="000000"/>
        </w:rPr>
        <w:t xml:space="preserve"> promotional services</w:t>
      </w:r>
      <w:r w:rsidRPr="00843145">
        <w:rPr>
          <w:color w:val="000000"/>
        </w:rPr>
        <w:t xml:space="preserve"> </w:t>
      </w:r>
      <w:r w:rsidR="006266A8" w:rsidRPr="00843145">
        <w:rPr>
          <w:color w:val="000000"/>
        </w:rPr>
        <w:t xml:space="preserve">are included in, </w:t>
      </w:r>
      <w:r w:rsidR="000B4DAD" w:rsidRPr="00843145">
        <w:rPr>
          <w:color w:val="000000"/>
        </w:rPr>
        <w:t>overlap with</w:t>
      </w:r>
      <w:r w:rsidR="006266A8" w:rsidRPr="00843145">
        <w:rPr>
          <w:color w:val="000000"/>
        </w:rPr>
        <w:t>,</w:t>
      </w:r>
      <w:r w:rsidRPr="00843145">
        <w:rPr>
          <w:color w:val="000000"/>
        </w:rPr>
        <w:t xml:space="preserve"> the opponent's </w:t>
      </w:r>
      <w:r w:rsidRPr="00843145">
        <w:rPr>
          <w:i/>
          <w:color w:val="000000"/>
        </w:rPr>
        <w:t>advertising</w:t>
      </w:r>
      <w:r w:rsidRPr="00843145">
        <w:rPr>
          <w:color w:val="000000"/>
        </w:rPr>
        <w:t xml:space="preserve"> of earlier mark 3. Therefore, they are </w:t>
      </w:r>
      <w:r w:rsidRPr="00843145">
        <w:rPr>
          <w:color w:val="000000"/>
          <w:u w:val="single"/>
        </w:rPr>
        <w:t>identical</w:t>
      </w:r>
      <w:r w:rsidRPr="00843145">
        <w:rPr>
          <w:color w:val="000000"/>
        </w:rPr>
        <w:t>.</w:t>
      </w:r>
    </w:p>
    <w:p w14:paraId="29D5BE0F" w14:textId="77777777" w:rsidR="004255A1" w:rsidRPr="00843145" w:rsidRDefault="004255A1" w:rsidP="004255A1">
      <w:pPr>
        <w:jc w:val="both"/>
        <w:rPr>
          <w:color w:val="000000"/>
        </w:rPr>
      </w:pPr>
    </w:p>
    <w:p w14:paraId="01833A0A" w14:textId="1F513B83" w:rsidR="00D72E13" w:rsidRPr="00843145" w:rsidRDefault="00943FA7" w:rsidP="00583032">
      <w:pPr>
        <w:jc w:val="both"/>
      </w:pPr>
      <w:r w:rsidRPr="00843145">
        <w:rPr>
          <w:b/>
          <w:color w:val="000000"/>
        </w:rPr>
        <w:t>Contested services in Class</w:t>
      </w:r>
      <w:r w:rsidR="00B070DC" w:rsidRPr="00843145">
        <w:rPr>
          <w:b/>
          <w:color w:val="000000"/>
        </w:rPr>
        <w:t> </w:t>
      </w:r>
      <w:r w:rsidRPr="00843145">
        <w:rPr>
          <w:b/>
          <w:color w:val="000000"/>
        </w:rPr>
        <w:t>42</w:t>
      </w:r>
    </w:p>
    <w:p w14:paraId="6D73F0EE" w14:textId="77777777" w:rsidR="004255A1" w:rsidRPr="00843145" w:rsidRDefault="004255A1" w:rsidP="004255A1">
      <w:pPr>
        <w:jc w:val="both"/>
        <w:rPr>
          <w:color w:val="000000"/>
        </w:rPr>
      </w:pPr>
    </w:p>
    <w:p w14:paraId="64720027" w14:textId="56441789" w:rsidR="00D72E13" w:rsidRPr="00843145" w:rsidRDefault="00943FA7" w:rsidP="004255A1">
      <w:pPr>
        <w:jc w:val="both"/>
      </w:pPr>
      <w:r w:rsidRPr="00843145">
        <w:rPr>
          <w:color w:val="000000"/>
        </w:rPr>
        <w:t xml:space="preserve">The contested </w:t>
      </w:r>
      <w:r w:rsidRPr="00843145">
        <w:rPr>
          <w:i/>
          <w:color w:val="000000"/>
        </w:rPr>
        <w:t>design services</w:t>
      </w:r>
      <w:r w:rsidRPr="00843145">
        <w:rPr>
          <w:color w:val="000000"/>
        </w:rPr>
        <w:t xml:space="preserve"> include, as a broader category the opponent's </w:t>
      </w:r>
      <w:r w:rsidRPr="00843145">
        <w:rPr>
          <w:i/>
          <w:color w:val="000000"/>
        </w:rPr>
        <w:t>dress designing</w:t>
      </w:r>
      <w:r w:rsidRPr="00843145">
        <w:rPr>
          <w:color w:val="000000"/>
        </w:rPr>
        <w:t xml:space="preserve"> of earlier mark 2. Since the Opposition Division cannot dissect </w:t>
      </w:r>
      <w:r w:rsidRPr="00843145">
        <w:rPr>
          <w:i/>
          <w:iCs/>
          <w:color w:val="000000"/>
        </w:rPr>
        <w:t>ex officio</w:t>
      </w:r>
      <w:r w:rsidRPr="00843145">
        <w:rPr>
          <w:color w:val="000000"/>
        </w:rPr>
        <w:t xml:space="preserve"> the broad category of the contested services, they are considered </w:t>
      </w:r>
      <w:r w:rsidRPr="00843145">
        <w:rPr>
          <w:color w:val="000000"/>
          <w:u w:val="single"/>
        </w:rPr>
        <w:t>identical</w:t>
      </w:r>
      <w:r w:rsidRPr="00843145">
        <w:rPr>
          <w:color w:val="000000"/>
        </w:rPr>
        <w:t xml:space="preserve"> to the opponent's services.</w:t>
      </w:r>
    </w:p>
    <w:p w14:paraId="047CB5DF" w14:textId="77777777" w:rsidR="00D72E13" w:rsidRPr="00843145" w:rsidRDefault="00D72E13" w:rsidP="004255A1">
      <w:pPr>
        <w:jc w:val="both"/>
      </w:pPr>
    </w:p>
    <w:p w14:paraId="73D187BF" w14:textId="77777777" w:rsidR="00D72E13" w:rsidRPr="00843145" w:rsidRDefault="00943FA7" w:rsidP="00583032">
      <w:pPr>
        <w:spacing w:before="120"/>
        <w:jc w:val="both"/>
      </w:pPr>
      <w:bookmarkStart w:id="10" w:name="chk-paragraph-9-3-2_nodeId-870269841"/>
      <w:bookmarkEnd w:id="8"/>
      <w:r w:rsidRPr="00843145">
        <w:rPr>
          <w:b/>
          <w:color w:val="000000"/>
        </w:rPr>
        <w:t>b) Relevant public — degree of attention</w:t>
      </w:r>
    </w:p>
    <w:p w14:paraId="48519D07" w14:textId="322AD9FA" w:rsidR="00D72E13" w:rsidRPr="00843145" w:rsidRDefault="00D72E13">
      <w:pPr>
        <w:jc w:val="both"/>
      </w:pPr>
    </w:p>
    <w:p w14:paraId="4318A7C8" w14:textId="77777777" w:rsidR="00D72E13" w:rsidRPr="00843145" w:rsidRDefault="00943FA7">
      <w:pPr>
        <w:jc w:val="both"/>
      </w:pPr>
      <w:r w:rsidRPr="00843145">
        <w:rPr>
          <w:color w:val="000000"/>
        </w:rPr>
        <w:t>The average consumer of the category of products concerned is deemed to be reasonably well informed and reasonably observant and circumspect. It should also be borne in mind that the average consumer’s degree of attention is likely to vary according to the category of goods or services in question (22/06/1999, C-342/97, Lloyd Schuhfabrik, EU:C:1999:323, § 26).</w:t>
      </w:r>
    </w:p>
    <w:p w14:paraId="23E96F56" w14:textId="2E8E3451" w:rsidR="00D72E13" w:rsidRPr="00843145" w:rsidRDefault="00D72E13">
      <w:pPr>
        <w:jc w:val="both"/>
      </w:pPr>
    </w:p>
    <w:p w14:paraId="2B15EDB5" w14:textId="79D9C51C" w:rsidR="00D72E13" w:rsidRPr="00843145" w:rsidRDefault="00943FA7">
      <w:pPr>
        <w:jc w:val="both"/>
      </w:pPr>
      <w:r w:rsidRPr="00843145">
        <w:rPr>
          <w:color w:val="000000"/>
        </w:rPr>
        <w:t>In the present case, the</w:t>
      </w:r>
      <w:r w:rsidR="00903835" w:rsidRPr="00843145">
        <w:rPr>
          <w:color w:val="000000"/>
        </w:rPr>
        <w:t xml:space="preserve"> </w:t>
      </w:r>
      <w:r w:rsidRPr="00843145">
        <w:rPr>
          <w:color w:val="000000"/>
        </w:rPr>
        <w:t>goods and services</w:t>
      </w:r>
      <w:r w:rsidR="00903835" w:rsidRPr="00843145">
        <w:rPr>
          <w:color w:val="000000"/>
        </w:rPr>
        <w:t xml:space="preserve"> </w:t>
      </w:r>
      <w:r w:rsidRPr="00843145">
        <w:rPr>
          <w:color w:val="000000"/>
        </w:rPr>
        <w:t>found to be</w:t>
      </w:r>
      <w:r w:rsidR="00903835" w:rsidRPr="00843145">
        <w:rPr>
          <w:color w:val="000000"/>
        </w:rPr>
        <w:t xml:space="preserve"> </w:t>
      </w:r>
      <w:r w:rsidRPr="00843145">
        <w:rPr>
          <w:color w:val="000000"/>
        </w:rPr>
        <w:t>identical or similar</w:t>
      </w:r>
      <w:r w:rsidR="00903835" w:rsidRPr="00843145">
        <w:rPr>
          <w:color w:val="000000"/>
        </w:rPr>
        <w:t xml:space="preserve"> </w:t>
      </w:r>
      <w:r w:rsidRPr="00843145">
        <w:rPr>
          <w:color w:val="000000"/>
        </w:rPr>
        <w:t>target the</w:t>
      </w:r>
      <w:r w:rsidR="00903835" w:rsidRPr="00843145">
        <w:rPr>
          <w:color w:val="000000"/>
        </w:rPr>
        <w:t xml:space="preserve"> </w:t>
      </w:r>
      <w:r w:rsidRPr="00843145">
        <w:rPr>
          <w:color w:val="000000"/>
        </w:rPr>
        <w:t>public at large</w:t>
      </w:r>
      <w:r w:rsidR="00903835" w:rsidRPr="00843145">
        <w:rPr>
          <w:color w:val="000000"/>
        </w:rPr>
        <w:t xml:space="preserve"> and </w:t>
      </w:r>
      <w:r w:rsidRPr="00843145">
        <w:rPr>
          <w:color w:val="000000"/>
        </w:rPr>
        <w:t>business customers with specific professional knowledge or expertise.</w:t>
      </w:r>
      <w:bookmarkStart w:id="11" w:name="chk-paragraph-9-3-2-3_nodeId--2076511279"/>
      <w:bookmarkEnd w:id="10"/>
      <w:r w:rsidR="00875FFE" w:rsidRPr="00843145">
        <w:rPr>
          <w:color w:val="000000"/>
        </w:rPr>
        <w:t xml:space="preserve"> </w:t>
      </w:r>
      <w:r w:rsidR="003B09A9" w:rsidRPr="00843145">
        <w:rPr>
          <w:rStyle w:val="defaultparagraphfont"/>
          <w:szCs w:val="22"/>
        </w:rPr>
        <w:t>The public’s degree of attentiveness may vary from average to high, depending on the price, or terms and conditions of the goods and services purchased</w:t>
      </w:r>
      <w:r w:rsidRPr="00843145">
        <w:rPr>
          <w:color w:val="000000"/>
        </w:rPr>
        <w:t>.</w:t>
      </w:r>
    </w:p>
    <w:p w14:paraId="034D04A9" w14:textId="6C876839" w:rsidR="00D72E13" w:rsidRPr="00843145" w:rsidRDefault="00D72E13">
      <w:pPr>
        <w:jc w:val="both"/>
      </w:pPr>
    </w:p>
    <w:p w14:paraId="3CB87AF2" w14:textId="18378F03" w:rsidR="00D72E13" w:rsidRPr="00843145" w:rsidRDefault="00943FA7" w:rsidP="00583032">
      <w:pPr>
        <w:spacing w:before="120"/>
        <w:jc w:val="both"/>
      </w:pPr>
      <w:bookmarkStart w:id="12" w:name="chk-paragraph-9-3-3_nodeId--1465072020"/>
      <w:bookmarkEnd w:id="11"/>
      <w:r w:rsidRPr="00843145">
        <w:rPr>
          <w:b/>
          <w:color w:val="000000"/>
        </w:rPr>
        <w:t>c) The signs</w:t>
      </w:r>
    </w:p>
    <w:p w14:paraId="0C516E8F" w14:textId="699FE962" w:rsidR="00D72E13" w:rsidRPr="00843145" w:rsidRDefault="00D72E13">
      <w:pPr>
        <w:jc w:val="both"/>
      </w:pPr>
    </w:p>
    <w:tbl>
      <w:tblPr>
        <w:tblW w:w="0" w:type="auto"/>
        <w:tblCellSpacing w:w="20" w:type="dxa"/>
        <w:tblInd w:w="154" w:type="dxa"/>
        <w:tblLook w:val="04A0" w:firstRow="1" w:lastRow="0" w:firstColumn="1" w:lastColumn="0" w:noHBand="0" w:noVBand="1"/>
      </w:tblPr>
      <w:tblGrid>
        <w:gridCol w:w="4827"/>
        <w:gridCol w:w="4046"/>
      </w:tblGrid>
      <w:tr w:rsidR="00D72E13" w:rsidRPr="00843145" w14:paraId="5982FF54" w14:textId="77777777">
        <w:trPr>
          <w:trHeight w:val="30"/>
          <w:tblCellSpacing w:w="20" w:type="dxa"/>
        </w:trPr>
        <w:tc>
          <w:tcPr>
            <w:tcW w:w="6801" w:type="dxa"/>
            <w:tcBorders>
              <w:right w:val="dotted" w:sz="8" w:space="0" w:color="000000"/>
            </w:tcBorders>
            <w:tcMar>
              <w:top w:w="15" w:type="dxa"/>
              <w:left w:w="15" w:type="dxa"/>
              <w:bottom w:w="15" w:type="dxa"/>
              <w:right w:w="15" w:type="dxa"/>
            </w:tcMar>
            <w:vAlign w:val="center"/>
          </w:tcPr>
          <w:p w14:paraId="3AC899B5" w14:textId="77777777" w:rsidR="00D72E13" w:rsidRPr="00843145" w:rsidRDefault="00943FA7" w:rsidP="00875FFE">
            <w:pPr>
              <w:ind w:left="130"/>
              <w:jc w:val="center"/>
              <w:rPr>
                <w:color w:val="000000"/>
              </w:rPr>
            </w:pPr>
            <w:r w:rsidRPr="00843145">
              <w:rPr>
                <w:color w:val="000000"/>
              </w:rPr>
              <w:t>FENDI</w:t>
            </w:r>
          </w:p>
          <w:p w14:paraId="0E850456" w14:textId="0E6C9AC9" w:rsidR="00875FFE" w:rsidRPr="00843145" w:rsidRDefault="00875FFE" w:rsidP="00875FFE">
            <w:pPr>
              <w:ind w:left="130"/>
              <w:jc w:val="center"/>
            </w:pPr>
          </w:p>
        </w:tc>
        <w:tc>
          <w:tcPr>
            <w:tcW w:w="5449" w:type="dxa"/>
            <w:tcMar>
              <w:top w:w="15" w:type="dxa"/>
              <w:left w:w="15" w:type="dxa"/>
              <w:bottom w:w="15" w:type="dxa"/>
              <w:right w:w="15" w:type="dxa"/>
            </w:tcMar>
            <w:vAlign w:val="center"/>
          </w:tcPr>
          <w:p w14:paraId="4E5C372B" w14:textId="77777777" w:rsidR="00D72E13" w:rsidRPr="00843145" w:rsidRDefault="00943FA7">
            <w:pPr>
              <w:ind w:left="130"/>
              <w:jc w:val="center"/>
              <w:rPr>
                <w:color w:val="000000"/>
              </w:rPr>
            </w:pPr>
            <w:r w:rsidRPr="00843145">
              <w:rPr>
                <w:color w:val="000000"/>
              </w:rPr>
              <w:t>FENDI CLUB</w:t>
            </w:r>
          </w:p>
          <w:p w14:paraId="2004216C" w14:textId="77777777" w:rsidR="00875FFE" w:rsidRPr="00843145" w:rsidRDefault="00875FFE">
            <w:pPr>
              <w:ind w:left="130"/>
              <w:jc w:val="center"/>
              <w:rPr>
                <w:shadow/>
              </w:rPr>
            </w:pPr>
          </w:p>
        </w:tc>
      </w:tr>
      <w:tr w:rsidR="00D72E13" w:rsidRPr="00843145" w14:paraId="741AC2C1" w14:textId="77777777">
        <w:trPr>
          <w:trHeight w:val="45"/>
          <w:tblCellSpacing w:w="20" w:type="dxa"/>
        </w:trPr>
        <w:tc>
          <w:tcPr>
            <w:tcW w:w="6801" w:type="dxa"/>
            <w:tcBorders>
              <w:top w:val="dotted" w:sz="8" w:space="0" w:color="000000"/>
              <w:right w:val="dotted" w:sz="8" w:space="0" w:color="000000"/>
            </w:tcBorders>
            <w:tcMar>
              <w:top w:w="15" w:type="dxa"/>
              <w:left w:w="15" w:type="dxa"/>
              <w:bottom w:w="15" w:type="dxa"/>
              <w:right w:w="15" w:type="dxa"/>
            </w:tcMar>
            <w:vAlign w:val="center"/>
          </w:tcPr>
          <w:p w14:paraId="118A2437" w14:textId="42BD4137" w:rsidR="00D72E13" w:rsidRPr="00843145" w:rsidRDefault="00D72E13">
            <w:pPr>
              <w:ind w:left="130"/>
              <w:jc w:val="both"/>
            </w:pPr>
          </w:p>
          <w:p w14:paraId="7B9C1EA1" w14:textId="717BB797" w:rsidR="00D72E13" w:rsidRPr="00843145" w:rsidRDefault="00943FA7">
            <w:pPr>
              <w:ind w:left="130"/>
              <w:jc w:val="center"/>
            </w:pPr>
            <w:r w:rsidRPr="00843145">
              <w:rPr>
                <w:color w:val="000000"/>
              </w:rPr>
              <w:t xml:space="preserve">Earlier </w:t>
            </w:r>
            <w:proofErr w:type="gramStart"/>
            <w:r w:rsidRPr="00843145">
              <w:rPr>
                <w:color w:val="000000"/>
              </w:rPr>
              <w:t>trade mark</w:t>
            </w:r>
            <w:r w:rsidR="00875FFE" w:rsidRPr="00843145">
              <w:rPr>
                <w:color w:val="000000"/>
              </w:rPr>
              <w:t>s</w:t>
            </w:r>
            <w:proofErr w:type="gramEnd"/>
          </w:p>
        </w:tc>
        <w:tc>
          <w:tcPr>
            <w:tcW w:w="5449" w:type="dxa"/>
            <w:tcBorders>
              <w:top w:val="dotted" w:sz="8" w:space="0" w:color="000000"/>
            </w:tcBorders>
            <w:tcMar>
              <w:top w:w="15" w:type="dxa"/>
              <w:left w:w="15" w:type="dxa"/>
              <w:bottom w:w="15" w:type="dxa"/>
              <w:right w:w="15" w:type="dxa"/>
            </w:tcMar>
            <w:vAlign w:val="center"/>
          </w:tcPr>
          <w:p w14:paraId="2F4FFFB9" w14:textId="1F9C74DD" w:rsidR="00D72E13" w:rsidRPr="00843145" w:rsidRDefault="00943FA7">
            <w:pPr>
              <w:ind w:left="130"/>
              <w:jc w:val="both"/>
            </w:pPr>
            <w:r w:rsidRPr="00843145">
              <w:rPr>
                <w:color w:val="000000"/>
              </w:rPr>
              <w:t> </w:t>
            </w:r>
          </w:p>
          <w:p w14:paraId="2B123227" w14:textId="77777777" w:rsidR="00D72E13" w:rsidRPr="00843145" w:rsidRDefault="00943FA7">
            <w:pPr>
              <w:ind w:left="130"/>
              <w:jc w:val="center"/>
            </w:pPr>
            <w:r w:rsidRPr="00843145">
              <w:rPr>
                <w:color w:val="000000"/>
              </w:rPr>
              <w:t>Contested sign</w:t>
            </w:r>
          </w:p>
        </w:tc>
      </w:tr>
    </w:tbl>
    <w:p w14:paraId="41AE55FB" w14:textId="323F092D" w:rsidR="00D72E13" w:rsidRPr="00843145" w:rsidRDefault="00D72E13">
      <w:pPr>
        <w:jc w:val="both"/>
      </w:pPr>
    </w:p>
    <w:p w14:paraId="75CC7763" w14:textId="2A10BDB3" w:rsidR="00D72E13" w:rsidRPr="00843145" w:rsidRDefault="00943FA7">
      <w:pPr>
        <w:jc w:val="both"/>
      </w:pPr>
      <w:bookmarkStart w:id="13" w:name="chk-paragraph-9-3-3-2_nodeId--1371220369"/>
      <w:bookmarkEnd w:id="12"/>
      <w:r w:rsidRPr="00843145">
        <w:rPr>
          <w:color w:val="000000"/>
        </w:rPr>
        <w:t xml:space="preserve">The relevant territory is </w:t>
      </w:r>
      <w:r w:rsidR="00875FFE" w:rsidRPr="00843145">
        <w:rPr>
          <w:color w:val="000000"/>
        </w:rPr>
        <w:t>the European Union</w:t>
      </w:r>
      <w:r w:rsidRPr="00843145">
        <w:rPr>
          <w:color w:val="000000"/>
        </w:rPr>
        <w:t>.</w:t>
      </w:r>
    </w:p>
    <w:p w14:paraId="400D0FF8" w14:textId="404B9AEA" w:rsidR="00D72E13" w:rsidRPr="00843145" w:rsidRDefault="00D72E13">
      <w:pPr>
        <w:jc w:val="both"/>
      </w:pPr>
    </w:p>
    <w:p w14:paraId="502A7270" w14:textId="2783C930" w:rsidR="00D72E13" w:rsidRPr="00843145" w:rsidRDefault="00943FA7">
      <w:pPr>
        <w:jc w:val="both"/>
      </w:pPr>
      <w:r w:rsidRPr="00843145">
        <w:rPr>
          <w:color w:val="000000"/>
        </w:rPr>
        <w:t>The global appreciation of the visual, aural or conceptual similarity of the marks in question must be based on the overall impression given by the marks, bearing in mind</w:t>
      </w:r>
      <w:proofErr w:type="gramStart"/>
      <w:r w:rsidRPr="00843145">
        <w:rPr>
          <w:color w:val="000000"/>
        </w:rPr>
        <w:t>, in particular, their</w:t>
      </w:r>
      <w:proofErr w:type="gramEnd"/>
      <w:r w:rsidRPr="00843145">
        <w:rPr>
          <w:color w:val="000000"/>
        </w:rPr>
        <w:t xml:space="preserve"> distinctive and dominant components (11/11/1997, C</w:t>
      </w:r>
      <w:r w:rsidRPr="00843145">
        <w:rPr>
          <w:rFonts w:ascii="Cambria Math" w:hAnsi="Cambria Math" w:cs="Cambria Math"/>
          <w:color w:val="000000"/>
        </w:rPr>
        <w:t>‑</w:t>
      </w:r>
      <w:r w:rsidRPr="00843145">
        <w:rPr>
          <w:color w:val="000000"/>
        </w:rPr>
        <w:t xml:space="preserve">251/95, </w:t>
      </w:r>
      <w:proofErr w:type="spellStart"/>
      <w:r w:rsidRPr="00843145">
        <w:rPr>
          <w:color w:val="000000"/>
        </w:rPr>
        <w:t>Sabèl</w:t>
      </w:r>
      <w:proofErr w:type="spellEnd"/>
      <w:r w:rsidRPr="00843145">
        <w:rPr>
          <w:color w:val="000000"/>
        </w:rPr>
        <w:t>, EU:C:1997:528, § 23).</w:t>
      </w:r>
    </w:p>
    <w:p w14:paraId="07750842" w14:textId="36B96C6F" w:rsidR="00D72E13" w:rsidRPr="00843145" w:rsidRDefault="00D72E13">
      <w:pPr>
        <w:jc w:val="both"/>
      </w:pPr>
    </w:p>
    <w:p w14:paraId="1A9BEAB4" w14:textId="372E1ED7" w:rsidR="009318BC" w:rsidRPr="00843145" w:rsidRDefault="009318BC">
      <w:pPr>
        <w:jc w:val="both"/>
        <w:rPr>
          <w:color w:val="000000"/>
        </w:rPr>
      </w:pPr>
      <w:bookmarkStart w:id="14" w:name="chk-paragraph-9-3-3-2-1_nodeId-157765701"/>
      <w:bookmarkEnd w:id="13"/>
      <w:r w:rsidRPr="00843145">
        <w:rPr>
          <w:color w:val="000000"/>
        </w:rPr>
        <w:t xml:space="preserve">The </w:t>
      </w:r>
      <w:r w:rsidR="00703127" w:rsidRPr="00843145">
        <w:rPr>
          <w:color w:val="000000"/>
        </w:rPr>
        <w:t>verbal element ‘FENDI’</w:t>
      </w:r>
      <w:r w:rsidR="00E71DC9" w:rsidRPr="00843145">
        <w:rPr>
          <w:color w:val="000000"/>
        </w:rPr>
        <w:t>,</w:t>
      </w:r>
      <w:r w:rsidRPr="00843145">
        <w:rPr>
          <w:color w:val="000000"/>
        </w:rPr>
        <w:t xml:space="preserve"> </w:t>
      </w:r>
      <w:r w:rsidR="00E71DC9" w:rsidRPr="00843145">
        <w:rPr>
          <w:color w:val="000000"/>
        </w:rPr>
        <w:t xml:space="preserve">present in </w:t>
      </w:r>
      <w:r w:rsidR="00BE6B29" w:rsidRPr="00843145">
        <w:rPr>
          <w:color w:val="000000"/>
        </w:rPr>
        <w:t>all</w:t>
      </w:r>
      <w:r w:rsidR="00E71DC9" w:rsidRPr="00843145">
        <w:rPr>
          <w:color w:val="000000"/>
        </w:rPr>
        <w:t xml:space="preserve"> signs, </w:t>
      </w:r>
      <w:r w:rsidRPr="00843145">
        <w:rPr>
          <w:color w:val="000000"/>
        </w:rPr>
        <w:t xml:space="preserve">has no meaning for the </w:t>
      </w:r>
      <w:r w:rsidR="006811A4" w:rsidRPr="00843145">
        <w:rPr>
          <w:color w:val="000000"/>
        </w:rPr>
        <w:t xml:space="preserve">relevant </w:t>
      </w:r>
      <w:r w:rsidRPr="00843145">
        <w:rPr>
          <w:color w:val="000000"/>
        </w:rPr>
        <w:t>public and is, therefore, distinctive</w:t>
      </w:r>
      <w:r w:rsidR="00EA6227" w:rsidRPr="00843145">
        <w:rPr>
          <w:color w:val="000000"/>
        </w:rPr>
        <w:t>. The opponent argue</w:t>
      </w:r>
      <w:r w:rsidR="00EB3840" w:rsidRPr="00843145">
        <w:rPr>
          <w:color w:val="000000"/>
        </w:rPr>
        <w:t>s</w:t>
      </w:r>
      <w:r w:rsidR="00EA6227" w:rsidRPr="00843145">
        <w:rPr>
          <w:color w:val="000000"/>
        </w:rPr>
        <w:t xml:space="preserve"> that it </w:t>
      </w:r>
      <w:r w:rsidR="00571E4F" w:rsidRPr="00843145">
        <w:rPr>
          <w:color w:val="000000"/>
        </w:rPr>
        <w:t>i</w:t>
      </w:r>
      <w:r w:rsidR="00EA6227" w:rsidRPr="00843145">
        <w:rPr>
          <w:color w:val="000000"/>
        </w:rPr>
        <w:t xml:space="preserve">s a surname, </w:t>
      </w:r>
      <w:r w:rsidR="00EB3840" w:rsidRPr="00843145">
        <w:rPr>
          <w:color w:val="000000"/>
        </w:rPr>
        <w:t xml:space="preserve">however, the Opposition Division considers </w:t>
      </w:r>
      <w:r w:rsidR="00304AB9" w:rsidRPr="00843145">
        <w:rPr>
          <w:color w:val="000000"/>
        </w:rPr>
        <w:t>it is</w:t>
      </w:r>
      <w:r w:rsidR="00EB3840" w:rsidRPr="00843145">
        <w:rPr>
          <w:color w:val="000000"/>
        </w:rPr>
        <w:t xml:space="preserve"> relatively rare, and it is reasonable to assume that </w:t>
      </w:r>
      <w:r w:rsidR="00EA6227" w:rsidRPr="00843145">
        <w:rPr>
          <w:color w:val="000000"/>
        </w:rPr>
        <w:t>this element will not evoke an association with a surname</w:t>
      </w:r>
      <w:r w:rsidRPr="00843145">
        <w:rPr>
          <w:color w:val="000000"/>
        </w:rPr>
        <w:t>.</w:t>
      </w:r>
    </w:p>
    <w:p w14:paraId="631190F7" w14:textId="77777777" w:rsidR="00363ADF" w:rsidRPr="00843145" w:rsidRDefault="00363ADF">
      <w:pPr>
        <w:jc w:val="both"/>
        <w:rPr>
          <w:color w:val="000000"/>
        </w:rPr>
      </w:pPr>
    </w:p>
    <w:p w14:paraId="11712805" w14:textId="2E70040F" w:rsidR="001D2635" w:rsidRPr="00843145" w:rsidRDefault="006811A4" w:rsidP="006E1080">
      <w:pPr>
        <w:pStyle w:val="NormalWeb"/>
        <w:jc w:val="both"/>
        <w:rPr>
          <w:rFonts w:ascii="Arial" w:hAnsi="Arial" w:cs="Arial"/>
          <w:sz w:val="22"/>
          <w:szCs w:val="22"/>
          <w:lang w:val="en-US" w:eastAsia="en-US"/>
        </w:rPr>
      </w:pPr>
      <w:r w:rsidRPr="00843145">
        <w:rPr>
          <w:rFonts w:ascii="Arial" w:hAnsi="Arial" w:cs="Arial"/>
          <w:sz w:val="22"/>
          <w:szCs w:val="22"/>
        </w:rPr>
        <w:t>T</w:t>
      </w:r>
      <w:r w:rsidR="00703127" w:rsidRPr="00843145">
        <w:rPr>
          <w:rFonts w:ascii="Arial" w:hAnsi="Arial" w:cs="Arial"/>
          <w:sz w:val="22"/>
          <w:szCs w:val="22"/>
        </w:rPr>
        <w:t>he contested sign</w:t>
      </w:r>
      <w:r w:rsidRPr="00843145">
        <w:rPr>
          <w:rFonts w:ascii="Arial" w:hAnsi="Arial" w:cs="Arial"/>
          <w:sz w:val="22"/>
          <w:szCs w:val="22"/>
        </w:rPr>
        <w:t>’s verbal element</w:t>
      </w:r>
      <w:r w:rsidR="00703127" w:rsidRPr="00843145">
        <w:rPr>
          <w:rFonts w:ascii="Arial" w:hAnsi="Arial" w:cs="Arial"/>
          <w:sz w:val="22"/>
          <w:szCs w:val="22"/>
        </w:rPr>
        <w:t xml:space="preserve"> ‘CLUB’</w:t>
      </w:r>
      <w:r w:rsidR="00BB2EE2" w:rsidRPr="00843145">
        <w:rPr>
          <w:rFonts w:ascii="Arial" w:hAnsi="Arial" w:cs="Arial"/>
          <w:color w:val="000000"/>
          <w:sz w:val="22"/>
          <w:szCs w:val="22"/>
          <w:lang w:val="en-US" w:eastAsia="en-US"/>
        </w:rPr>
        <w:t xml:space="preserve"> </w:t>
      </w:r>
      <w:r w:rsidR="006422EB" w:rsidRPr="00843145">
        <w:rPr>
          <w:rFonts w:ascii="Arial" w:hAnsi="Arial" w:cs="Arial"/>
          <w:sz w:val="22"/>
          <w:szCs w:val="22"/>
          <w:lang w:val="en-US" w:eastAsia="en-US"/>
        </w:rPr>
        <w:t xml:space="preserve">is a basic English word that will be understood by the relevant public throughout the European Union </w:t>
      </w:r>
      <w:r w:rsidR="009D264F" w:rsidRPr="00843145">
        <w:rPr>
          <w:rFonts w:ascii="Arial" w:hAnsi="Arial" w:cs="Arial"/>
          <w:sz w:val="22"/>
          <w:szCs w:val="22"/>
          <w:lang w:val="en-US" w:eastAsia="en-US"/>
        </w:rPr>
        <w:t xml:space="preserve">as an association of persons dedicated to a particular interest or activity; or an </w:t>
      </w:r>
      <w:proofErr w:type="spellStart"/>
      <w:r w:rsidR="009D264F" w:rsidRPr="00843145">
        <w:rPr>
          <w:rFonts w:ascii="Arial" w:hAnsi="Arial" w:cs="Arial"/>
          <w:sz w:val="22"/>
          <w:szCs w:val="22"/>
          <w:lang w:val="en-US" w:eastAsia="en-US"/>
        </w:rPr>
        <w:t>organisation</w:t>
      </w:r>
      <w:proofErr w:type="spellEnd"/>
      <w:r w:rsidR="009D264F" w:rsidRPr="00843145">
        <w:rPr>
          <w:rFonts w:ascii="Arial" w:hAnsi="Arial" w:cs="Arial"/>
          <w:sz w:val="22"/>
          <w:szCs w:val="22"/>
          <w:lang w:val="en-US" w:eastAsia="en-US"/>
        </w:rPr>
        <w:t xml:space="preserve"> offering members social amenities, meals, and temporary residence</w:t>
      </w:r>
      <w:r w:rsidR="009D264F" w:rsidRPr="00843145">
        <w:rPr>
          <w:rFonts w:ascii="Arial" w:eastAsia="Times New Roman" w:hAnsi="Arial" w:cs="Arial"/>
          <w:sz w:val="22"/>
          <w:szCs w:val="22"/>
          <w:lang w:val="en-IE" w:eastAsia="en-IE"/>
        </w:rPr>
        <w:t xml:space="preserve">. </w:t>
      </w:r>
      <w:r w:rsidR="006422EB" w:rsidRPr="00843145">
        <w:rPr>
          <w:rFonts w:ascii="Arial" w:hAnsi="Arial" w:cs="Arial"/>
          <w:sz w:val="22"/>
          <w:szCs w:val="22"/>
          <w:lang w:val="en-US" w:eastAsia="en-US"/>
        </w:rPr>
        <w:t>In relation to the goods</w:t>
      </w:r>
      <w:r w:rsidR="007C61CE" w:rsidRPr="00843145">
        <w:rPr>
          <w:rFonts w:ascii="Arial" w:hAnsi="Arial" w:cs="Arial"/>
          <w:sz w:val="22"/>
          <w:szCs w:val="22"/>
          <w:lang w:val="en-US" w:eastAsia="en-US"/>
        </w:rPr>
        <w:t xml:space="preserve"> and services at issue</w:t>
      </w:r>
      <w:r w:rsidR="006422EB" w:rsidRPr="00843145">
        <w:rPr>
          <w:rFonts w:ascii="Arial" w:hAnsi="Arial" w:cs="Arial"/>
          <w:sz w:val="22"/>
          <w:szCs w:val="22"/>
          <w:lang w:val="en-US" w:eastAsia="en-US"/>
        </w:rPr>
        <w:t xml:space="preserve">, this word </w:t>
      </w:r>
      <w:r w:rsidR="00560243" w:rsidRPr="00843145">
        <w:rPr>
          <w:rFonts w:ascii="Arial" w:hAnsi="Arial" w:cs="Arial"/>
          <w:sz w:val="22"/>
          <w:szCs w:val="22"/>
          <w:lang w:val="en-US" w:eastAsia="en-US"/>
        </w:rPr>
        <w:t>will</w:t>
      </w:r>
      <w:r w:rsidR="006422EB" w:rsidRPr="00843145">
        <w:rPr>
          <w:rFonts w:ascii="Arial" w:hAnsi="Arial" w:cs="Arial"/>
          <w:sz w:val="22"/>
          <w:szCs w:val="22"/>
          <w:lang w:val="en-US" w:eastAsia="en-US"/>
        </w:rPr>
        <w:t xml:space="preserve"> generally refer to a membership, including privileged, and </w:t>
      </w:r>
      <w:r w:rsidR="001D2635" w:rsidRPr="00843145">
        <w:rPr>
          <w:rFonts w:ascii="Arial" w:hAnsi="Arial" w:cs="Arial"/>
          <w:sz w:val="22"/>
          <w:szCs w:val="22"/>
          <w:lang w:val="en-US" w:eastAsia="en-US"/>
        </w:rPr>
        <w:t>is</w:t>
      </w:r>
      <w:r w:rsidR="006E1080" w:rsidRPr="00843145">
        <w:rPr>
          <w:rFonts w:ascii="Arial" w:hAnsi="Arial" w:cs="Arial"/>
          <w:sz w:val="22"/>
          <w:szCs w:val="22"/>
          <w:lang w:val="en-US" w:eastAsia="en-US"/>
        </w:rPr>
        <w:t>, therefore</w:t>
      </w:r>
      <w:r w:rsidR="001D2635" w:rsidRPr="00843145">
        <w:rPr>
          <w:rFonts w:ascii="Arial" w:hAnsi="Arial" w:cs="Arial"/>
          <w:sz w:val="22"/>
          <w:szCs w:val="22"/>
          <w:lang w:val="en-US" w:eastAsia="en-US"/>
        </w:rPr>
        <w:t xml:space="preserve"> only lowly distinctive</w:t>
      </w:r>
      <w:r w:rsidR="00FD0F8D" w:rsidRPr="00843145">
        <w:rPr>
          <w:rFonts w:ascii="Arial" w:hAnsi="Arial" w:cs="Arial"/>
          <w:sz w:val="22"/>
          <w:szCs w:val="22"/>
          <w:lang w:val="en-US" w:eastAsia="en-US"/>
        </w:rPr>
        <w:t xml:space="preserve"> </w:t>
      </w:r>
      <w:r w:rsidR="00FD0F8D" w:rsidRPr="00843145">
        <w:rPr>
          <w:rFonts w:ascii="Arial" w:hAnsi="Arial" w:cs="Arial"/>
          <w:color w:val="000000"/>
          <w:sz w:val="22"/>
          <w:szCs w:val="22"/>
          <w:lang w:val="en-US" w:eastAsia="en-US"/>
        </w:rPr>
        <w:t xml:space="preserve">(10/09/2024, R 975/2024-4, The Kids Club / BABY CLUB, </w:t>
      </w:r>
      <w:r w:rsidR="00FD0F8D" w:rsidRPr="00843145">
        <w:rPr>
          <w:rFonts w:ascii="Arial" w:eastAsia="Times New Roman" w:hAnsi="Arial" w:cs="Arial"/>
          <w:sz w:val="22"/>
          <w:szCs w:val="22"/>
          <w:lang w:val="en-IE" w:eastAsia="en-IE"/>
        </w:rPr>
        <w:t>§ 30)</w:t>
      </w:r>
      <w:r w:rsidR="001D2635" w:rsidRPr="00843145">
        <w:rPr>
          <w:rFonts w:ascii="Arial" w:hAnsi="Arial" w:cs="Arial"/>
          <w:sz w:val="22"/>
          <w:szCs w:val="22"/>
          <w:lang w:val="en-US" w:eastAsia="en-US"/>
        </w:rPr>
        <w:t>.</w:t>
      </w:r>
    </w:p>
    <w:p w14:paraId="5866BF25" w14:textId="77777777" w:rsidR="0068749D" w:rsidRPr="00843145" w:rsidRDefault="0068749D" w:rsidP="006E1080">
      <w:pPr>
        <w:pStyle w:val="NormalWeb"/>
        <w:jc w:val="both"/>
        <w:rPr>
          <w:rFonts w:ascii="Arial" w:hAnsi="Arial" w:cs="Arial"/>
          <w:sz w:val="22"/>
          <w:szCs w:val="22"/>
          <w:lang w:val="en-US" w:eastAsia="en-US"/>
        </w:rPr>
      </w:pPr>
    </w:p>
    <w:p w14:paraId="70004900" w14:textId="476C3D30" w:rsidR="0068749D" w:rsidRPr="00843145" w:rsidRDefault="0068749D" w:rsidP="006E1080">
      <w:pPr>
        <w:pStyle w:val="NormalWeb"/>
        <w:jc w:val="both"/>
        <w:rPr>
          <w:rFonts w:ascii="Arial" w:hAnsi="Arial" w:cs="Arial"/>
          <w:sz w:val="22"/>
          <w:szCs w:val="22"/>
          <w:lang w:val="en-US" w:eastAsia="en-US"/>
        </w:rPr>
      </w:pPr>
      <w:r w:rsidRPr="00843145">
        <w:rPr>
          <w:rFonts w:ascii="Arial" w:hAnsi="Arial" w:cs="Arial"/>
          <w:sz w:val="22"/>
          <w:szCs w:val="22"/>
        </w:rPr>
        <w:t>Consumers generally tend to focus on the beginning of a sign when they encounter a trade mark (25/03/2009, T</w:t>
      </w:r>
      <w:r w:rsidRPr="00843145">
        <w:rPr>
          <w:rFonts w:ascii="Arial" w:hAnsi="Arial" w:cs="Arial"/>
          <w:sz w:val="22"/>
          <w:szCs w:val="22"/>
        </w:rPr>
        <w:noBreakHyphen/>
        <w:t xml:space="preserve">109/07, SPA THERAPY / SPA </w:t>
      </w:r>
      <w:proofErr w:type="spellStart"/>
      <w:r w:rsidRPr="00843145">
        <w:rPr>
          <w:rFonts w:ascii="Arial" w:hAnsi="Arial" w:cs="Arial"/>
          <w:sz w:val="22"/>
          <w:szCs w:val="22"/>
        </w:rPr>
        <w:t>ea</w:t>
      </w:r>
      <w:proofErr w:type="spellEnd"/>
      <w:r w:rsidRPr="00843145">
        <w:rPr>
          <w:rFonts w:ascii="Arial" w:hAnsi="Arial" w:cs="Arial"/>
          <w:sz w:val="22"/>
          <w:szCs w:val="22"/>
        </w:rPr>
        <w:t>, EU:T:2009:81, § 30; 15/12/2009, T</w:t>
      </w:r>
      <w:r w:rsidRPr="00843145">
        <w:rPr>
          <w:rFonts w:ascii="Arial" w:hAnsi="Arial" w:cs="Arial"/>
          <w:sz w:val="22"/>
          <w:szCs w:val="22"/>
        </w:rPr>
        <w:noBreakHyphen/>
        <w:t xml:space="preserve">412/08, TRUBION / BION, </w:t>
      </w:r>
      <w:proofErr w:type="spellStart"/>
      <w:r w:rsidRPr="00843145">
        <w:rPr>
          <w:rFonts w:ascii="Arial" w:hAnsi="Arial" w:cs="Arial"/>
          <w:sz w:val="22"/>
          <w:szCs w:val="22"/>
        </w:rPr>
        <w:t>TriBion</w:t>
      </w:r>
      <w:proofErr w:type="spellEnd"/>
      <w:r w:rsidRPr="00843145">
        <w:rPr>
          <w:rFonts w:ascii="Arial" w:hAnsi="Arial" w:cs="Arial"/>
          <w:sz w:val="22"/>
          <w:szCs w:val="22"/>
        </w:rPr>
        <w:t xml:space="preserve"> </w:t>
      </w:r>
      <w:proofErr w:type="spellStart"/>
      <w:r w:rsidRPr="00843145">
        <w:rPr>
          <w:rFonts w:ascii="Arial" w:hAnsi="Arial" w:cs="Arial"/>
          <w:sz w:val="22"/>
          <w:szCs w:val="22"/>
        </w:rPr>
        <w:t>Harmonis</w:t>
      </w:r>
      <w:proofErr w:type="spellEnd"/>
      <w:r w:rsidRPr="00843145">
        <w:rPr>
          <w:rFonts w:ascii="Arial" w:hAnsi="Arial" w:cs="Arial"/>
          <w:sz w:val="22"/>
          <w:szCs w:val="22"/>
        </w:rPr>
        <w:t xml:space="preserve"> (fig.), EU:T:2009:507, § 40; 06/10/2011, T</w:t>
      </w:r>
      <w:r w:rsidRPr="00843145">
        <w:rPr>
          <w:rFonts w:ascii="Arial" w:hAnsi="Arial" w:cs="Arial"/>
          <w:sz w:val="22"/>
          <w:szCs w:val="22"/>
        </w:rPr>
        <w:noBreakHyphen/>
        <w:t>176/10, SEVEN FOR ALL MANKIND / SEVEN, EU:T:2011:577, § 39). This is because the public reads from left to right, which makes the part placed at the left of the sign (the initial part) the one that first catches the attention of the reader.</w:t>
      </w:r>
    </w:p>
    <w:p w14:paraId="5EE251FC" w14:textId="77777777" w:rsidR="007464F5" w:rsidRPr="00843145" w:rsidRDefault="007464F5" w:rsidP="006E1080">
      <w:pPr>
        <w:pStyle w:val="NormalWeb"/>
        <w:jc w:val="both"/>
        <w:rPr>
          <w:rFonts w:ascii="Arial" w:hAnsi="Arial" w:cs="Arial"/>
          <w:sz w:val="22"/>
          <w:szCs w:val="22"/>
          <w:lang w:val="en-US" w:eastAsia="en-US"/>
        </w:rPr>
      </w:pPr>
    </w:p>
    <w:p w14:paraId="578497D3" w14:textId="32B49FEC" w:rsidR="007464F5" w:rsidRPr="00843145" w:rsidRDefault="007464F5" w:rsidP="007464F5">
      <w:pPr>
        <w:jc w:val="both"/>
        <w:rPr>
          <w:color w:val="000000"/>
        </w:rPr>
      </w:pPr>
      <w:r w:rsidRPr="00843145">
        <w:rPr>
          <w:b/>
          <w:color w:val="000000"/>
        </w:rPr>
        <w:t>Visually</w:t>
      </w:r>
      <w:r w:rsidRPr="00843145">
        <w:rPr>
          <w:bCs/>
          <w:color w:val="000000"/>
        </w:rPr>
        <w:t xml:space="preserve"> and </w:t>
      </w:r>
      <w:r w:rsidRPr="00843145">
        <w:rPr>
          <w:b/>
          <w:color w:val="000000"/>
        </w:rPr>
        <w:t>aurally</w:t>
      </w:r>
      <w:r w:rsidRPr="00843145">
        <w:rPr>
          <w:color w:val="000000"/>
        </w:rPr>
        <w:t xml:space="preserve">, the signs coincide in the verbal element ‘FENDI’, which is </w:t>
      </w:r>
      <w:r w:rsidRPr="00843145">
        <w:rPr>
          <w:color w:val="000000"/>
          <w:lang w:val="en-US"/>
        </w:rPr>
        <w:t xml:space="preserve">the </w:t>
      </w:r>
      <w:r w:rsidR="00BE6B29" w:rsidRPr="00843145">
        <w:rPr>
          <w:color w:val="000000"/>
        </w:rPr>
        <w:t xml:space="preserve">sole element of </w:t>
      </w:r>
      <w:r w:rsidRPr="00843145">
        <w:rPr>
          <w:color w:val="000000"/>
        </w:rPr>
        <w:t>the earlier mark</w:t>
      </w:r>
      <w:r w:rsidR="00BE6B29" w:rsidRPr="00843145">
        <w:rPr>
          <w:color w:val="000000"/>
        </w:rPr>
        <w:t>s</w:t>
      </w:r>
      <w:r w:rsidRPr="00843145">
        <w:rPr>
          <w:color w:val="000000"/>
        </w:rPr>
        <w:t xml:space="preserve"> and the </w:t>
      </w:r>
      <w:r w:rsidR="00BE6B29" w:rsidRPr="00843145">
        <w:rPr>
          <w:color w:val="000000"/>
          <w:lang w:val="en-US"/>
        </w:rPr>
        <w:t>element of greatest impact</w:t>
      </w:r>
      <w:r w:rsidR="00BE6B29" w:rsidRPr="00843145">
        <w:rPr>
          <w:color w:val="000000"/>
        </w:rPr>
        <w:t xml:space="preserve"> of </w:t>
      </w:r>
      <w:r w:rsidRPr="00843145">
        <w:rPr>
          <w:color w:val="000000"/>
        </w:rPr>
        <w:t>the contested sign</w:t>
      </w:r>
      <w:r w:rsidR="0068749D" w:rsidRPr="00843145">
        <w:rPr>
          <w:color w:val="000000"/>
        </w:rPr>
        <w:t xml:space="preserve">, being its </w:t>
      </w:r>
      <w:r w:rsidR="00AF7A22" w:rsidRPr="00843145">
        <w:rPr>
          <w:color w:val="000000"/>
        </w:rPr>
        <w:t xml:space="preserve">first and </w:t>
      </w:r>
      <w:r w:rsidR="0068749D" w:rsidRPr="00843145">
        <w:rPr>
          <w:color w:val="000000"/>
        </w:rPr>
        <w:t>most distinctive element</w:t>
      </w:r>
      <w:r w:rsidRPr="00843145">
        <w:rPr>
          <w:color w:val="000000"/>
        </w:rPr>
        <w:t xml:space="preserve">. The signs differ in the </w:t>
      </w:r>
      <w:r w:rsidR="00AF7A22" w:rsidRPr="00843145">
        <w:rPr>
          <w:color w:val="000000"/>
        </w:rPr>
        <w:t>contested sign’s second element ‘CLUB’</w:t>
      </w:r>
      <w:r w:rsidRPr="00843145">
        <w:rPr>
          <w:color w:val="000000"/>
        </w:rPr>
        <w:t xml:space="preserve">, which </w:t>
      </w:r>
      <w:r w:rsidR="007A762C" w:rsidRPr="00843145">
        <w:rPr>
          <w:color w:val="000000"/>
        </w:rPr>
        <w:t>is, however,</w:t>
      </w:r>
      <w:r w:rsidR="007A762C" w:rsidRPr="00843145">
        <w:t xml:space="preserve"> </w:t>
      </w:r>
      <w:r w:rsidR="007A762C" w:rsidRPr="00843145">
        <w:rPr>
          <w:color w:val="000000"/>
        </w:rPr>
        <w:t xml:space="preserve">lowly distinctive and </w:t>
      </w:r>
      <w:r w:rsidRPr="00843145">
        <w:rPr>
          <w:color w:val="000000"/>
        </w:rPr>
        <w:t>ha</w:t>
      </w:r>
      <w:r w:rsidR="007A762C" w:rsidRPr="00843145">
        <w:rPr>
          <w:color w:val="000000"/>
        </w:rPr>
        <w:t>s</w:t>
      </w:r>
      <w:r w:rsidRPr="00843145">
        <w:rPr>
          <w:color w:val="000000"/>
        </w:rPr>
        <w:t xml:space="preserve"> less impact in the overall impression of the sign.</w:t>
      </w:r>
    </w:p>
    <w:p w14:paraId="14C15CB6" w14:textId="77777777" w:rsidR="007464F5" w:rsidRPr="00843145" w:rsidRDefault="007464F5" w:rsidP="007464F5">
      <w:pPr>
        <w:jc w:val="both"/>
      </w:pPr>
    </w:p>
    <w:p w14:paraId="590E6A89" w14:textId="7C022C6D" w:rsidR="007464F5" w:rsidRPr="00843145" w:rsidRDefault="007464F5" w:rsidP="007464F5">
      <w:pPr>
        <w:jc w:val="both"/>
      </w:pPr>
      <w:r w:rsidRPr="00843145">
        <w:rPr>
          <w:color w:val="000000"/>
        </w:rPr>
        <w:t>Therefore, the signs are</w:t>
      </w:r>
      <w:r w:rsidR="00C34610" w:rsidRPr="00843145">
        <w:rPr>
          <w:color w:val="000000"/>
        </w:rPr>
        <w:t xml:space="preserve"> visually and aurally</w:t>
      </w:r>
      <w:r w:rsidRPr="00843145">
        <w:rPr>
          <w:color w:val="000000"/>
        </w:rPr>
        <w:t xml:space="preserve"> </w:t>
      </w:r>
      <w:r w:rsidRPr="00843145">
        <w:rPr>
          <w:color w:val="000000"/>
          <w:u w:val="single"/>
        </w:rPr>
        <w:t>similar at least to an average degree</w:t>
      </w:r>
      <w:r w:rsidRPr="00843145">
        <w:rPr>
          <w:color w:val="000000"/>
        </w:rPr>
        <w:t>.</w:t>
      </w:r>
    </w:p>
    <w:p w14:paraId="191A015C" w14:textId="77777777" w:rsidR="007464F5" w:rsidRPr="00843145" w:rsidRDefault="007464F5" w:rsidP="007464F5">
      <w:pPr>
        <w:jc w:val="both"/>
      </w:pPr>
    </w:p>
    <w:p w14:paraId="15B2D601" w14:textId="1BCA3569" w:rsidR="007464F5" w:rsidRPr="00843145" w:rsidRDefault="007464F5" w:rsidP="007464F5">
      <w:pPr>
        <w:jc w:val="both"/>
        <w:rPr>
          <w:color w:val="000000"/>
        </w:rPr>
      </w:pPr>
      <w:r w:rsidRPr="00843145">
        <w:rPr>
          <w:b/>
          <w:color w:val="000000"/>
        </w:rPr>
        <w:t>Conceptually</w:t>
      </w:r>
      <w:r w:rsidRPr="00843145">
        <w:rPr>
          <w:color w:val="000000"/>
        </w:rPr>
        <w:t xml:space="preserve">, reference is made to the previous assertions concerning the semantic content conveyed by the marks. Whereas the </w:t>
      </w:r>
      <w:r w:rsidR="00F23ADA" w:rsidRPr="00843145">
        <w:rPr>
          <w:color w:val="000000"/>
        </w:rPr>
        <w:t>earlier marks are</w:t>
      </w:r>
      <w:r w:rsidRPr="00843145">
        <w:rPr>
          <w:color w:val="000000"/>
        </w:rPr>
        <w:t xml:space="preserve"> meaningless, the relevant public will perceive the concept of the </w:t>
      </w:r>
      <w:r w:rsidR="00F23ADA" w:rsidRPr="00843145">
        <w:rPr>
          <w:color w:val="000000"/>
        </w:rPr>
        <w:t>contested sign’s element ‘CLUB’</w:t>
      </w:r>
      <w:r w:rsidRPr="00843145">
        <w:rPr>
          <w:color w:val="000000"/>
        </w:rPr>
        <w:t>. To that extent, the marks are conceptually not similar. However, this conceptual difference is of</w:t>
      </w:r>
      <w:r w:rsidR="00C34610" w:rsidRPr="00843145">
        <w:rPr>
          <w:color w:val="000000"/>
        </w:rPr>
        <w:t xml:space="preserve"> a</w:t>
      </w:r>
      <w:r w:rsidRPr="00843145">
        <w:rPr>
          <w:color w:val="000000"/>
        </w:rPr>
        <w:t xml:space="preserve"> limited relevance in the overall comparison of the signs, as it stems from </w:t>
      </w:r>
      <w:r w:rsidR="0011477A" w:rsidRPr="00843145">
        <w:rPr>
          <w:color w:val="000000"/>
        </w:rPr>
        <w:t xml:space="preserve">a lowly distinctive </w:t>
      </w:r>
      <w:r w:rsidRPr="00843145">
        <w:rPr>
          <w:color w:val="000000"/>
        </w:rPr>
        <w:t>concept.</w:t>
      </w:r>
    </w:p>
    <w:p w14:paraId="7072BAAF" w14:textId="77777777" w:rsidR="007464F5" w:rsidRPr="00843145" w:rsidRDefault="007464F5" w:rsidP="006E1080">
      <w:pPr>
        <w:pStyle w:val="NormalWeb"/>
        <w:jc w:val="both"/>
        <w:rPr>
          <w:rFonts w:ascii="Arial" w:hAnsi="Arial" w:cs="Arial"/>
          <w:sz w:val="22"/>
          <w:szCs w:val="22"/>
          <w:lang w:eastAsia="en-US"/>
        </w:rPr>
      </w:pPr>
    </w:p>
    <w:p w14:paraId="68A56B95" w14:textId="6DC979A6" w:rsidR="00D72E13" w:rsidRPr="00843145" w:rsidRDefault="00943FA7" w:rsidP="0011477A">
      <w:pPr>
        <w:spacing w:before="120"/>
        <w:jc w:val="both"/>
      </w:pPr>
      <w:bookmarkStart w:id="15" w:name="chk-paragraph-9-3-4_nodeId-712655740"/>
      <w:bookmarkEnd w:id="14"/>
      <w:r w:rsidRPr="00843145">
        <w:rPr>
          <w:b/>
          <w:color w:val="000000"/>
        </w:rPr>
        <w:t>d) Distinctiveness of the earlier mark</w:t>
      </w:r>
      <w:r w:rsidR="0011477A" w:rsidRPr="00843145">
        <w:rPr>
          <w:b/>
          <w:color w:val="000000"/>
        </w:rPr>
        <w:t>s</w:t>
      </w:r>
    </w:p>
    <w:p w14:paraId="2D1D1EBA" w14:textId="6097F89C" w:rsidR="00D72E13" w:rsidRPr="00843145" w:rsidRDefault="00D72E13">
      <w:pPr>
        <w:jc w:val="both"/>
      </w:pPr>
    </w:p>
    <w:p w14:paraId="5130991D" w14:textId="59D52959" w:rsidR="00D72E13" w:rsidRPr="00843145" w:rsidRDefault="00943FA7">
      <w:pPr>
        <w:jc w:val="both"/>
      </w:pPr>
      <w:r w:rsidRPr="00843145">
        <w:rPr>
          <w:color w:val="000000"/>
        </w:rPr>
        <w:t>The distinctiveness of the earlier mark</w:t>
      </w:r>
      <w:r w:rsidR="0011477A" w:rsidRPr="00843145">
        <w:rPr>
          <w:color w:val="000000"/>
        </w:rPr>
        <w:t>s</w:t>
      </w:r>
      <w:r w:rsidRPr="00843145">
        <w:rPr>
          <w:color w:val="000000"/>
        </w:rPr>
        <w:t xml:space="preserve"> is one of the factors to be </w:t>
      </w:r>
      <w:proofErr w:type="gramStart"/>
      <w:r w:rsidRPr="00843145">
        <w:rPr>
          <w:color w:val="000000"/>
        </w:rPr>
        <w:t>taken into account</w:t>
      </w:r>
      <w:proofErr w:type="gramEnd"/>
      <w:r w:rsidRPr="00843145">
        <w:rPr>
          <w:color w:val="000000"/>
        </w:rPr>
        <w:t xml:space="preserve"> in the global assessment of likelihood of confusion.</w:t>
      </w:r>
    </w:p>
    <w:p w14:paraId="506EDBAE" w14:textId="6525EEBB" w:rsidR="00D72E13" w:rsidRPr="00843145" w:rsidRDefault="00D72E13">
      <w:pPr>
        <w:jc w:val="both"/>
      </w:pPr>
    </w:p>
    <w:p w14:paraId="4603076D" w14:textId="4D23CAF1" w:rsidR="00D72E13" w:rsidRPr="00843145" w:rsidRDefault="00943FA7" w:rsidP="0011477A">
      <w:pPr>
        <w:jc w:val="both"/>
      </w:pPr>
      <w:bookmarkStart w:id="16" w:name="chk-paragraph-9-3-4-7_nodeId-2096283893"/>
      <w:bookmarkEnd w:id="15"/>
      <w:r w:rsidRPr="00843145">
        <w:rPr>
          <w:color w:val="000000"/>
        </w:rPr>
        <w:lastRenderedPageBreak/>
        <w:t>According to the opponent, the earlier mark</w:t>
      </w:r>
      <w:r w:rsidR="0011477A" w:rsidRPr="00843145">
        <w:rPr>
          <w:color w:val="000000"/>
        </w:rPr>
        <w:t>s</w:t>
      </w:r>
      <w:r w:rsidRPr="00843145">
        <w:rPr>
          <w:color w:val="000000"/>
        </w:rPr>
        <w:t xml:space="preserve"> ha</w:t>
      </w:r>
      <w:r w:rsidR="0011477A" w:rsidRPr="00843145">
        <w:rPr>
          <w:color w:val="000000"/>
        </w:rPr>
        <w:t>ve</w:t>
      </w:r>
      <w:r w:rsidRPr="00843145">
        <w:rPr>
          <w:color w:val="000000"/>
        </w:rPr>
        <w:t xml:space="preserve"> been extensively used and enjoy an enhanced scope of protection. However, for reasons of procedural economy, the evidence filed by the opponent to prove this claim does not have to be assessed in the present case (see below in ‘Global assessment’).</w:t>
      </w:r>
    </w:p>
    <w:p w14:paraId="7D40B111" w14:textId="7B44668E" w:rsidR="00D72E13" w:rsidRPr="00843145" w:rsidRDefault="00D72E13" w:rsidP="0011477A">
      <w:pPr>
        <w:jc w:val="both"/>
      </w:pPr>
    </w:p>
    <w:p w14:paraId="35D5DC87" w14:textId="1A38EBF8" w:rsidR="00D72E13" w:rsidRPr="00843145" w:rsidRDefault="00943FA7" w:rsidP="0011477A">
      <w:pPr>
        <w:jc w:val="both"/>
      </w:pPr>
      <w:bookmarkStart w:id="17" w:name="chk-paragraph-9-3-4-7-1_nodeId-190880498"/>
      <w:bookmarkEnd w:id="16"/>
      <w:r w:rsidRPr="00843145">
        <w:rPr>
          <w:color w:val="000000"/>
        </w:rPr>
        <w:t>Consequently, the assessment of the distinctiveness of the earlier mark</w:t>
      </w:r>
      <w:r w:rsidR="0011477A" w:rsidRPr="00843145">
        <w:rPr>
          <w:color w:val="000000"/>
        </w:rPr>
        <w:t>s</w:t>
      </w:r>
      <w:r w:rsidRPr="00843145">
        <w:rPr>
          <w:color w:val="000000"/>
        </w:rPr>
        <w:t xml:space="preserve"> will rest on </w:t>
      </w:r>
      <w:r w:rsidR="0011477A" w:rsidRPr="00843145">
        <w:rPr>
          <w:color w:val="000000"/>
        </w:rPr>
        <w:t>their</w:t>
      </w:r>
      <w:r w:rsidRPr="00843145">
        <w:rPr>
          <w:color w:val="000000"/>
        </w:rPr>
        <w:t xml:space="preserve"> distinctiveness per se. In the present case, the earlier </w:t>
      </w:r>
      <w:proofErr w:type="gramStart"/>
      <w:r w:rsidRPr="00843145">
        <w:rPr>
          <w:color w:val="000000"/>
        </w:rPr>
        <w:t>trade mark</w:t>
      </w:r>
      <w:r w:rsidR="0011477A" w:rsidRPr="00843145">
        <w:rPr>
          <w:color w:val="000000"/>
        </w:rPr>
        <w:t>s</w:t>
      </w:r>
      <w:proofErr w:type="gramEnd"/>
      <w:r w:rsidRPr="00843145">
        <w:rPr>
          <w:color w:val="000000"/>
        </w:rPr>
        <w:t xml:space="preserve"> </w:t>
      </w:r>
      <w:proofErr w:type="gramStart"/>
      <w:r w:rsidRPr="00843145">
        <w:rPr>
          <w:color w:val="000000"/>
        </w:rPr>
        <w:t>as a whole ha</w:t>
      </w:r>
      <w:r w:rsidR="0011477A" w:rsidRPr="00843145">
        <w:rPr>
          <w:color w:val="000000"/>
        </w:rPr>
        <w:t>ve</w:t>
      </w:r>
      <w:proofErr w:type="gramEnd"/>
      <w:r w:rsidRPr="00843145">
        <w:rPr>
          <w:color w:val="000000"/>
        </w:rPr>
        <w:t xml:space="preserve"> no meaning for any of the goods and services</w:t>
      </w:r>
      <w:r w:rsidR="0011477A" w:rsidRPr="00843145">
        <w:rPr>
          <w:color w:val="000000"/>
        </w:rPr>
        <w:t xml:space="preserve"> </w:t>
      </w:r>
      <w:r w:rsidRPr="00843145">
        <w:rPr>
          <w:color w:val="000000"/>
        </w:rPr>
        <w:t>in question from the perspective of the public in the relevant territory. Therefore, the distinctiveness of the earlier mark must be seen as normal.</w:t>
      </w:r>
    </w:p>
    <w:p w14:paraId="6879EA8D" w14:textId="5502CAA4" w:rsidR="00D72E13" w:rsidRPr="00843145" w:rsidRDefault="00D72E13">
      <w:pPr>
        <w:jc w:val="both"/>
      </w:pPr>
    </w:p>
    <w:p w14:paraId="24ECD4E7" w14:textId="7521339B" w:rsidR="00D72E13" w:rsidRPr="00843145" w:rsidRDefault="00943FA7" w:rsidP="0008558F">
      <w:pPr>
        <w:spacing w:before="120"/>
        <w:jc w:val="both"/>
      </w:pPr>
      <w:bookmarkStart w:id="18" w:name="chk-paragraph-9-3-5_nodeId--1332642858"/>
      <w:bookmarkEnd w:id="17"/>
      <w:r w:rsidRPr="00843145">
        <w:rPr>
          <w:b/>
          <w:color w:val="000000"/>
        </w:rPr>
        <w:t>e) Global assessment, other arguments and conclusion</w:t>
      </w:r>
    </w:p>
    <w:p w14:paraId="47B7104A" w14:textId="77777777" w:rsidR="00D72E13" w:rsidRPr="00843145" w:rsidRDefault="00D72E13">
      <w:pPr>
        <w:jc w:val="both"/>
      </w:pPr>
    </w:p>
    <w:p w14:paraId="2C768930" w14:textId="5FCE42A0" w:rsidR="00DF253A" w:rsidRPr="00843145" w:rsidRDefault="00DF253A" w:rsidP="00DF253A">
      <w:pPr>
        <w:jc w:val="both"/>
      </w:pPr>
      <w:bookmarkStart w:id="19" w:name="chk-paragraph-9-3-5-2_nodeId--1908640140"/>
      <w:bookmarkEnd w:id="18"/>
      <w:r w:rsidRPr="00843145">
        <w:rPr>
          <w:color w:val="000000"/>
        </w:rPr>
        <w:t xml:space="preserve">Likelihood of confusion covers situations where the consumer directly confuses the </w:t>
      </w:r>
      <w:proofErr w:type="spellStart"/>
      <w:proofErr w:type="gramStart"/>
      <w:r w:rsidRPr="00843145">
        <w:rPr>
          <w:color w:val="000000"/>
        </w:rPr>
        <w:t>trade marks</w:t>
      </w:r>
      <w:proofErr w:type="spellEnd"/>
      <w:proofErr w:type="gramEnd"/>
      <w:r w:rsidRPr="00843145">
        <w:rPr>
          <w:color w:val="000000"/>
        </w:rPr>
        <w:t xml:space="preserve"> themselves, or where the consumer makes a connection between the conflicting signs and assumes that the goods/services covered are from the same or economically linked undertakings (29/09/1998, C</w:t>
      </w:r>
      <w:r w:rsidRPr="00843145">
        <w:rPr>
          <w:rFonts w:ascii="Cambria Math" w:hAnsi="Cambria Math"/>
          <w:color w:val="000000"/>
        </w:rPr>
        <w:t>‑</w:t>
      </w:r>
      <w:r w:rsidRPr="00843145">
        <w:rPr>
          <w:color w:val="000000"/>
        </w:rPr>
        <w:t>39/97, Canon, EU:C:1998:442, §</w:t>
      </w:r>
      <w:r w:rsidR="009E6295" w:rsidRPr="00843145">
        <w:rPr>
          <w:color w:val="000000"/>
        </w:rPr>
        <w:t> </w:t>
      </w:r>
      <w:r w:rsidRPr="00843145">
        <w:rPr>
          <w:color w:val="000000"/>
        </w:rPr>
        <w:t>29).</w:t>
      </w:r>
    </w:p>
    <w:p w14:paraId="5A79CB8E" w14:textId="77777777" w:rsidR="00DF253A" w:rsidRPr="00843145" w:rsidRDefault="00DF253A" w:rsidP="00DF253A">
      <w:pPr>
        <w:jc w:val="both"/>
      </w:pPr>
    </w:p>
    <w:p w14:paraId="0D82ED9E" w14:textId="0A8EDABD" w:rsidR="00DF253A" w:rsidRPr="00843145" w:rsidRDefault="00DF253A" w:rsidP="00DF253A">
      <w:pPr>
        <w:jc w:val="both"/>
        <w:rPr>
          <w:color w:val="000000"/>
        </w:rPr>
      </w:pPr>
      <w:r w:rsidRPr="00843145">
        <w:rPr>
          <w:color w:val="000000"/>
        </w:rPr>
        <w:t>Account is taken of the fact that average consumers rarely have the chance to make a direct comparison between different marks but must trust in their imperfect recollection of them (22/06/1999, C</w:t>
      </w:r>
      <w:r w:rsidRPr="00843145">
        <w:rPr>
          <w:rFonts w:ascii="Cambria Math" w:hAnsi="Cambria Math" w:cs="Cambria Math"/>
          <w:color w:val="000000"/>
        </w:rPr>
        <w:t>‑</w:t>
      </w:r>
      <w:r w:rsidRPr="00843145">
        <w:rPr>
          <w:color w:val="000000"/>
        </w:rPr>
        <w:t>342/97, Lloyd Schuhfabrik, EU:C:1999:323, § 26).</w:t>
      </w:r>
      <w:r w:rsidRPr="00843145">
        <w:t xml:space="preserve"> </w:t>
      </w:r>
      <w:r w:rsidRPr="00843145">
        <w:rPr>
          <w:color w:val="000000"/>
        </w:rPr>
        <w:t xml:space="preserve">Even consumers who pay a high degree of attention need to rely on their imperfect recollection of </w:t>
      </w:r>
      <w:proofErr w:type="gramStart"/>
      <w:r w:rsidRPr="00843145">
        <w:rPr>
          <w:color w:val="000000"/>
        </w:rPr>
        <w:t>trade marks</w:t>
      </w:r>
      <w:proofErr w:type="gramEnd"/>
      <w:r w:rsidRPr="00843145">
        <w:rPr>
          <w:color w:val="000000"/>
        </w:rPr>
        <w:t xml:space="preserve"> (21/11/2013, T</w:t>
      </w:r>
      <w:r w:rsidRPr="00843145">
        <w:rPr>
          <w:rFonts w:ascii="Cambria Math" w:hAnsi="Cambria Math"/>
          <w:color w:val="000000"/>
        </w:rPr>
        <w:t>‑</w:t>
      </w:r>
      <w:r w:rsidRPr="00843145">
        <w:rPr>
          <w:color w:val="000000"/>
        </w:rPr>
        <w:t xml:space="preserve">443/12, </w:t>
      </w:r>
      <w:proofErr w:type="spellStart"/>
      <w:r w:rsidRPr="00843145">
        <w:rPr>
          <w:color w:val="000000"/>
        </w:rPr>
        <w:t>ancotel</w:t>
      </w:r>
      <w:proofErr w:type="spellEnd"/>
      <w:r w:rsidRPr="00843145">
        <w:rPr>
          <w:color w:val="000000"/>
        </w:rPr>
        <w:t xml:space="preserve">. (fig.) / ACOTEL (fig.) et al, </w:t>
      </w:r>
      <w:proofErr w:type="gramStart"/>
      <w:r w:rsidRPr="00843145">
        <w:rPr>
          <w:color w:val="000000"/>
        </w:rPr>
        <w:t>EU:T</w:t>
      </w:r>
      <w:proofErr w:type="gramEnd"/>
      <w:r w:rsidRPr="00843145">
        <w:rPr>
          <w:color w:val="000000"/>
        </w:rPr>
        <w:t>:2013:605, § 54).</w:t>
      </w:r>
    </w:p>
    <w:p w14:paraId="72E27081" w14:textId="77777777" w:rsidR="00DF253A" w:rsidRPr="00843145" w:rsidRDefault="00DF253A" w:rsidP="00DF253A">
      <w:pPr>
        <w:jc w:val="both"/>
        <w:rPr>
          <w:color w:val="000000"/>
        </w:rPr>
      </w:pPr>
    </w:p>
    <w:p w14:paraId="74030836" w14:textId="77777777" w:rsidR="00DF253A" w:rsidRPr="00843145" w:rsidRDefault="00DF253A" w:rsidP="00DF253A">
      <w:pPr>
        <w:jc w:val="both"/>
        <w:rPr>
          <w:color w:val="000000"/>
        </w:rPr>
      </w:pPr>
      <w:r w:rsidRPr="00843145">
        <w:rPr>
          <w:color w:val="000000"/>
        </w:rPr>
        <w:t xml:space="preserve">The goods and services are partly identical, partly similar and partly dissimilar. The relevant public is the general and professional public whose degree of attention varies from average to high. The earlier marks have a normal degree of distinctiveness </w:t>
      </w:r>
      <w:r w:rsidRPr="00843145">
        <w:rPr>
          <w:i/>
          <w:iCs/>
          <w:color w:val="000000"/>
        </w:rPr>
        <w:t>per se</w:t>
      </w:r>
      <w:r w:rsidRPr="00843145">
        <w:rPr>
          <w:color w:val="000000"/>
        </w:rPr>
        <w:t>.</w:t>
      </w:r>
    </w:p>
    <w:p w14:paraId="335EE97E" w14:textId="77777777" w:rsidR="00DF253A" w:rsidRPr="00843145" w:rsidRDefault="00DF253A" w:rsidP="00DF253A">
      <w:pPr>
        <w:jc w:val="both"/>
        <w:rPr>
          <w:color w:val="000000"/>
        </w:rPr>
      </w:pPr>
    </w:p>
    <w:p w14:paraId="694D35E5" w14:textId="7885C3B9" w:rsidR="00781721" w:rsidRPr="00843145" w:rsidRDefault="00DF253A" w:rsidP="00781721">
      <w:pPr>
        <w:jc w:val="both"/>
        <w:rPr>
          <w:rFonts w:eastAsia="Calibri"/>
          <w:szCs w:val="22"/>
          <w:lang w:eastAsia="en-US"/>
        </w:rPr>
      </w:pPr>
      <w:r w:rsidRPr="00843145">
        <w:rPr>
          <w:color w:val="000000"/>
        </w:rPr>
        <w:t xml:space="preserve">The signs are visually and aurally </w:t>
      </w:r>
      <w:r w:rsidR="00C86AA8" w:rsidRPr="00843145">
        <w:rPr>
          <w:color w:val="000000"/>
        </w:rPr>
        <w:t xml:space="preserve">similar at least to an average degree </w:t>
      </w:r>
      <w:r w:rsidRPr="00843145">
        <w:rPr>
          <w:color w:val="000000"/>
        </w:rPr>
        <w:t xml:space="preserve">due to the complete inclusion of the earlier marks’ </w:t>
      </w:r>
      <w:r w:rsidR="00C34610" w:rsidRPr="00843145">
        <w:rPr>
          <w:color w:val="000000"/>
        </w:rPr>
        <w:t>sole</w:t>
      </w:r>
      <w:r w:rsidRPr="00843145">
        <w:rPr>
          <w:color w:val="000000"/>
        </w:rPr>
        <w:t xml:space="preserve"> element in the contested sign</w:t>
      </w:r>
      <w:r w:rsidR="00781721" w:rsidRPr="00843145">
        <w:rPr>
          <w:rFonts w:eastAsia="Calibri"/>
          <w:szCs w:val="22"/>
          <w:lang w:eastAsia="en-US"/>
        </w:rPr>
        <w:t xml:space="preserve"> as an independent distinctive element. Moreover, it is at the beginning of the contested sign, which, as explained above, is the part that first catches consumers’ attention. The difference between the signs lie</w:t>
      </w:r>
      <w:r w:rsidR="007F591D" w:rsidRPr="00843145">
        <w:rPr>
          <w:rFonts w:eastAsia="Calibri"/>
          <w:szCs w:val="22"/>
          <w:lang w:eastAsia="en-US"/>
        </w:rPr>
        <w:t>s</w:t>
      </w:r>
      <w:r w:rsidR="00781721" w:rsidRPr="00843145">
        <w:rPr>
          <w:rFonts w:eastAsia="Calibri"/>
          <w:szCs w:val="22"/>
          <w:lang w:eastAsia="en-US"/>
        </w:rPr>
        <w:t xml:space="preserve"> in the contested sign’s element ‘</w:t>
      </w:r>
      <w:r w:rsidR="007F591D" w:rsidRPr="00843145">
        <w:rPr>
          <w:color w:val="000000"/>
        </w:rPr>
        <w:t>CLUB’ of</w:t>
      </w:r>
      <w:r w:rsidR="007F591D" w:rsidRPr="00843145">
        <w:t xml:space="preserve"> </w:t>
      </w:r>
      <w:r w:rsidR="007F591D" w:rsidRPr="00843145">
        <w:rPr>
          <w:color w:val="000000"/>
        </w:rPr>
        <w:t xml:space="preserve">low </w:t>
      </w:r>
      <w:r w:rsidR="00781721" w:rsidRPr="00843145">
        <w:rPr>
          <w:rFonts w:eastAsia="Calibri"/>
          <w:szCs w:val="22"/>
          <w:lang w:eastAsia="en-US"/>
        </w:rPr>
        <w:t xml:space="preserve">distinctiveness, which is at the end of the sign, where the attention of the public is not normally focused. </w:t>
      </w:r>
      <w:r w:rsidR="00432C4B" w:rsidRPr="00843145">
        <w:t xml:space="preserve">Conceptually, the signs are not similar, which however, has a limited relevance, as explained above. </w:t>
      </w:r>
      <w:r w:rsidR="00781721" w:rsidRPr="00843145">
        <w:rPr>
          <w:rFonts w:eastAsia="Calibri"/>
          <w:szCs w:val="22"/>
          <w:lang w:eastAsia="en-US"/>
        </w:rPr>
        <w:t>In an overall assessment of the marks, the difference</w:t>
      </w:r>
      <w:r w:rsidR="00432C4B" w:rsidRPr="00843145">
        <w:rPr>
          <w:rFonts w:eastAsia="Calibri"/>
          <w:szCs w:val="22"/>
          <w:lang w:eastAsia="en-US"/>
        </w:rPr>
        <w:t>s</w:t>
      </w:r>
      <w:r w:rsidR="00781721" w:rsidRPr="00843145">
        <w:rPr>
          <w:rFonts w:eastAsia="Calibri"/>
          <w:szCs w:val="22"/>
          <w:lang w:eastAsia="en-US"/>
        </w:rPr>
        <w:t xml:space="preserve"> in the signs </w:t>
      </w:r>
      <w:r w:rsidR="00432C4B" w:rsidRPr="00843145">
        <w:rPr>
          <w:rFonts w:eastAsia="Calibri"/>
          <w:szCs w:val="22"/>
          <w:lang w:eastAsia="en-US"/>
        </w:rPr>
        <w:t>are</w:t>
      </w:r>
      <w:r w:rsidR="00781721" w:rsidRPr="00843145">
        <w:rPr>
          <w:rFonts w:eastAsia="Calibri"/>
          <w:szCs w:val="22"/>
          <w:lang w:eastAsia="en-US"/>
        </w:rPr>
        <w:t xml:space="preserve"> not significant enough to counteract the similarities and enable the relevant public to safely distinguish between them.</w:t>
      </w:r>
    </w:p>
    <w:p w14:paraId="52197459" w14:textId="77777777" w:rsidR="00781721" w:rsidRPr="00843145" w:rsidRDefault="00781721" w:rsidP="00781721">
      <w:pPr>
        <w:jc w:val="both"/>
        <w:rPr>
          <w:rFonts w:eastAsia="Calibri"/>
          <w:szCs w:val="22"/>
          <w:lang w:eastAsia="en-US"/>
        </w:rPr>
      </w:pPr>
    </w:p>
    <w:p w14:paraId="35915239" w14:textId="4F84ADA3" w:rsidR="00781721" w:rsidRPr="00843145" w:rsidRDefault="00781721" w:rsidP="00781721">
      <w:pPr>
        <w:jc w:val="both"/>
        <w:rPr>
          <w:rFonts w:eastAsia="Calibri"/>
          <w:szCs w:val="22"/>
          <w:lang w:eastAsia="en-US"/>
        </w:rPr>
      </w:pPr>
      <w:r w:rsidRPr="00843145">
        <w:rPr>
          <w:rFonts w:eastAsia="Calibri"/>
          <w:szCs w:val="22"/>
          <w:lang w:eastAsia="en-US"/>
        </w:rPr>
        <w:t xml:space="preserve">Therefore, it is highly conceivable that the relevant public, even those who will pay a higher degree of attention (who will also have to rely on their imperfect recollection of the signs), will confuse the </w:t>
      </w:r>
      <w:proofErr w:type="spellStart"/>
      <w:proofErr w:type="gramStart"/>
      <w:r w:rsidRPr="00843145">
        <w:rPr>
          <w:rFonts w:eastAsia="Calibri"/>
          <w:szCs w:val="22"/>
          <w:lang w:eastAsia="en-US"/>
        </w:rPr>
        <w:t>trade marks</w:t>
      </w:r>
      <w:proofErr w:type="spellEnd"/>
      <w:proofErr w:type="gramEnd"/>
      <w:r w:rsidRPr="00843145">
        <w:rPr>
          <w:rFonts w:eastAsia="Calibri"/>
          <w:szCs w:val="22"/>
          <w:lang w:eastAsia="en-US"/>
        </w:rPr>
        <w:t xml:space="preserve"> or believe that the</w:t>
      </w:r>
      <w:r w:rsidR="00432C4B" w:rsidRPr="00843145">
        <w:rPr>
          <w:rFonts w:eastAsia="Calibri"/>
          <w:szCs w:val="22"/>
          <w:lang w:eastAsia="en-US"/>
        </w:rPr>
        <w:t xml:space="preserve"> goods and</w:t>
      </w:r>
      <w:r w:rsidRPr="00843145">
        <w:rPr>
          <w:rFonts w:eastAsia="Calibri"/>
          <w:szCs w:val="22"/>
          <w:lang w:eastAsia="en-US"/>
        </w:rPr>
        <w:t xml:space="preserve"> services in question come from the same or economically linked undertakings.</w:t>
      </w:r>
    </w:p>
    <w:p w14:paraId="230C3105" w14:textId="77777777" w:rsidR="00781721" w:rsidRPr="00843145" w:rsidRDefault="00781721" w:rsidP="00781721">
      <w:pPr>
        <w:jc w:val="both"/>
        <w:rPr>
          <w:rFonts w:eastAsia="Calibri"/>
          <w:szCs w:val="22"/>
          <w:lang w:eastAsia="en-US"/>
        </w:rPr>
      </w:pPr>
    </w:p>
    <w:p w14:paraId="25C15E44" w14:textId="75F5B406" w:rsidR="00781721" w:rsidRPr="00843145" w:rsidRDefault="00781721" w:rsidP="00781721">
      <w:pPr>
        <w:jc w:val="both"/>
        <w:rPr>
          <w:rFonts w:eastAsia="SimSun"/>
          <w:szCs w:val="22"/>
          <w:lang w:eastAsia="en-US"/>
        </w:rPr>
      </w:pPr>
      <w:r w:rsidRPr="00843145">
        <w:rPr>
          <w:rFonts w:eastAsia="Calibri"/>
          <w:szCs w:val="22"/>
          <w:lang w:eastAsia="en-US"/>
        </w:rPr>
        <w:t>In addition, it is highly conceivable that the relevant consumer will perceive the contested mark as a sub-brand, a variation of the earlier mark</w:t>
      </w:r>
      <w:r w:rsidR="00F818B8" w:rsidRPr="00843145">
        <w:rPr>
          <w:rFonts w:eastAsia="Calibri"/>
          <w:szCs w:val="22"/>
          <w:lang w:eastAsia="en-US"/>
        </w:rPr>
        <w:t>s</w:t>
      </w:r>
      <w:r w:rsidRPr="00843145">
        <w:rPr>
          <w:rFonts w:eastAsia="Calibri"/>
          <w:szCs w:val="22"/>
          <w:lang w:eastAsia="en-US"/>
        </w:rPr>
        <w:t xml:space="preserve">, configured in a different way according to the type of </w:t>
      </w:r>
      <w:r w:rsidR="00432C4B" w:rsidRPr="00843145">
        <w:rPr>
          <w:rFonts w:eastAsia="Calibri"/>
          <w:szCs w:val="22"/>
          <w:lang w:eastAsia="en-US"/>
        </w:rPr>
        <w:t xml:space="preserve">goods and </w:t>
      </w:r>
      <w:r w:rsidRPr="00843145">
        <w:rPr>
          <w:rFonts w:eastAsia="Calibri"/>
          <w:szCs w:val="22"/>
          <w:lang w:eastAsia="en-US"/>
        </w:rPr>
        <w:t>services that it designates (23/10/2002, T</w:t>
      </w:r>
      <w:r w:rsidRPr="00843145">
        <w:rPr>
          <w:rFonts w:eastAsia="Calibri"/>
          <w:szCs w:val="22"/>
          <w:lang w:eastAsia="en-US"/>
        </w:rPr>
        <w:noBreakHyphen/>
        <w:t>104/01, Fifties, EU:T:2002:262, § 49).</w:t>
      </w:r>
    </w:p>
    <w:p w14:paraId="2BAFDE7C" w14:textId="77777777" w:rsidR="00781721" w:rsidRPr="00843145" w:rsidRDefault="00781721" w:rsidP="00DF253A">
      <w:pPr>
        <w:jc w:val="both"/>
        <w:rPr>
          <w:color w:val="000000"/>
        </w:rPr>
      </w:pPr>
    </w:p>
    <w:p w14:paraId="0B9FAAD5" w14:textId="3C141E99" w:rsidR="00D72E13" w:rsidRPr="00843145" w:rsidRDefault="00943FA7">
      <w:pPr>
        <w:jc w:val="both"/>
      </w:pPr>
      <w:bookmarkStart w:id="20" w:name="chk-paragraph-9-3-8_nodeId--1775153994"/>
      <w:bookmarkEnd w:id="19"/>
      <w:r w:rsidRPr="00843145">
        <w:rPr>
          <w:color w:val="000000"/>
        </w:rPr>
        <w:t>Considering all the above, the Opposition Division finds that there is a likelihood of confusion on the part of the</w:t>
      </w:r>
      <w:r w:rsidR="00432C4B" w:rsidRPr="00843145">
        <w:rPr>
          <w:color w:val="000000"/>
        </w:rPr>
        <w:t xml:space="preserve"> </w:t>
      </w:r>
      <w:r w:rsidRPr="00843145">
        <w:rPr>
          <w:color w:val="000000"/>
        </w:rPr>
        <w:t>public</w:t>
      </w:r>
      <w:r w:rsidR="00432C4B" w:rsidRPr="00843145">
        <w:rPr>
          <w:color w:val="000000"/>
        </w:rPr>
        <w:t xml:space="preserve"> </w:t>
      </w:r>
      <w:r w:rsidRPr="00843145">
        <w:rPr>
          <w:color w:val="000000"/>
        </w:rPr>
        <w:t xml:space="preserve">and therefore the opposition is partly well founded </w:t>
      </w:r>
      <w:proofErr w:type="gramStart"/>
      <w:r w:rsidRPr="00843145">
        <w:rPr>
          <w:color w:val="000000"/>
        </w:rPr>
        <w:t>on the basis of</w:t>
      </w:r>
      <w:proofErr w:type="gramEnd"/>
      <w:r w:rsidRPr="00843145">
        <w:rPr>
          <w:color w:val="000000"/>
        </w:rPr>
        <w:t xml:space="preserve"> the opponent’s</w:t>
      </w:r>
      <w:r w:rsidR="00432C4B" w:rsidRPr="00843145">
        <w:rPr>
          <w:color w:val="000000"/>
        </w:rPr>
        <w:t xml:space="preserve"> </w:t>
      </w:r>
      <w:r w:rsidRPr="00843145">
        <w:rPr>
          <w:color w:val="000000"/>
        </w:rPr>
        <w:t>European Union</w:t>
      </w:r>
      <w:r w:rsidR="00432C4B" w:rsidRPr="00843145">
        <w:rPr>
          <w:color w:val="000000"/>
        </w:rPr>
        <w:t xml:space="preserve"> </w:t>
      </w:r>
      <w:proofErr w:type="gramStart"/>
      <w:r w:rsidRPr="00843145">
        <w:rPr>
          <w:color w:val="000000"/>
        </w:rPr>
        <w:t>trade mark</w:t>
      </w:r>
      <w:proofErr w:type="gramEnd"/>
      <w:r w:rsidRPr="00843145">
        <w:rPr>
          <w:color w:val="000000"/>
        </w:rPr>
        <w:t xml:space="preserve"> registration</w:t>
      </w:r>
      <w:r w:rsidR="00432C4B" w:rsidRPr="00843145">
        <w:rPr>
          <w:color w:val="000000"/>
        </w:rPr>
        <w:t>s</w:t>
      </w:r>
      <w:r w:rsidRPr="00843145">
        <w:rPr>
          <w:color w:val="000000"/>
        </w:rPr>
        <w:t>.</w:t>
      </w:r>
    </w:p>
    <w:p w14:paraId="07695385" w14:textId="6AE699B6" w:rsidR="00D72E13" w:rsidRPr="00843145" w:rsidRDefault="00D72E13">
      <w:pPr>
        <w:jc w:val="both"/>
      </w:pPr>
    </w:p>
    <w:p w14:paraId="6EB5DA3F" w14:textId="65B0EA17" w:rsidR="00D72E13" w:rsidRPr="00843145" w:rsidRDefault="00943FA7">
      <w:pPr>
        <w:jc w:val="both"/>
      </w:pPr>
      <w:r w:rsidRPr="00843145">
        <w:rPr>
          <w:color w:val="000000"/>
        </w:rPr>
        <w:t xml:space="preserve">It follows from the above that the contested </w:t>
      </w:r>
      <w:proofErr w:type="gramStart"/>
      <w:r w:rsidRPr="00843145">
        <w:rPr>
          <w:color w:val="000000"/>
        </w:rPr>
        <w:t>trade mark</w:t>
      </w:r>
      <w:proofErr w:type="gramEnd"/>
      <w:r w:rsidRPr="00843145">
        <w:rPr>
          <w:color w:val="000000"/>
        </w:rPr>
        <w:t xml:space="preserve"> must be rejected for the</w:t>
      </w:r>
      <w:r w:rsidR="00432C4B" w:rsidRPr="00843145">
        <w:rPr>
          <w:color w:val="000000"/>
        </w:rPr>
        <w:t xml:space="preserve"> </w:t>
      </w:r>
      <w:r w:rsidRPr="00843145">
        <w:rPr>
          <w:color w:val="000000"/>
        </w:rPr>
        <w:t>goods and services</w:t>
      </w:r>
      <w:r w:rsidR="00432C4B" w:rsidRPr="00843145">
        <w:rPr>
          <w:color w:val="000000"/>
        </w:rPr>
        <w:t xml:space="preserve"> </w:t>
      </w:r>
      <w:r w:rsidRPr="00843145">
        <w:rPr>
          <w:color w:val="000000"/>
        </w:rPr>
        <w:t>found to be identical</w:t>
      </w:r>
      <w:r w:rsidR="00432C4B" w:rsidRPr="00843145">
        <w:rPr>
          <w:color w:val="000000"/>
        </w:rPr>
        <w:t xml:space="preserve"> </w:t>
      </w:r>
      <w:r w:rsidRPr="00843145">
        <w:rPr>
          <w:color w:val="000000"/>
        </w:rPr>
        <w:t xml:space="preserve">or </w:t>
      </w:r>
      <w:proofErr w:type="gramStart"/>
      <w:r w:rsidRPr="00843145">
        <w:rPr>
          <w:color w:val="000000"/>
        </w:rPr>
        <w:t>similar</w:t>
      </w:r>
      <w:r w:rsidR="00432C4B" w:rsidRPr="00843145">
        <w:rPr>
          <w:color w:val="000000"/>
        </w:rPr>
        <w:t xml:space="preserve"> </w:t>
      </w:r>
      <w:r w:rsidRPr="00843145">
        <w:rPr>
          <w:color w:val="000000"/>
        </w:rPr>
        <w:t>to</w:t>
      </w:r>
      <w:proofErr w:type="gramEnd"/>
      <w:r w:rsidRPr="00843145">
        <w:rPr>
          <w:color w:val="000000"/>
        </w:rPr>
        <w:t xml:space="preserve"> those of the earlier </w:t>
      </w:r>
      <w:proofErr w:type="spellStart"/>
      <w:proofErr w:type="gramStart"/>
      <w:r w:rsidRPr="00843145">
        <w:rPr>
          <w:color w:val="000000"/>
        </w:rPr>
        <w:t>trade mark</w:t>
      </w:r>
      <w:r w:rsidR="00432C4B" w:rsidRPr="00843145">
        <w:rPr>
          <w:color w:val="000000"/>
        </w:rPr>
        <w:t>s</w:t>
      </w:r>
      <w:proofErr w:type="spellEnd"/>
      <w:proofErr w:type="gramEnd"/>
      <w:r w:rsidRPr="00843145">
        <w:rPr>
          <w:color w:val="000000"/>
        </w:rPr>
        <w:t>.</w:t>
      </w:r>
    </w:p>
    <w:p w14:paraId="5182A749" w14:textId="6086AEEF" w:rsidR="00D72E13" w:rsidRPr="00843145" w:rsidRDefault="00D72E13">
      <w:pPr>
        <w:jc w:val="both"/>
      </w:pPr>
    </w:p>
    <w:p w14:paraId="2411584C" w14:textId="4D207A1C" w:rsidR="00D72E13" w:rsidRPr="00843145" w:rsidRDefault="00943FA7">
      <w:pPr>
        <w:jc w:val="both"/>
      </w:pPr>
      <w:r w:rsidRPr="00843145">
        <w:rPr>
          <w:color w:val="000000"/>
        </w:rPr>
        <w:t>The rest of the contested</w:t>
      </w:r>
      <w:r w:rsidR="00432C4B" w:rsidRPr="00843145">
        <w:rPr>
          <w:color w:val="000000"/>
        </w:rPr>
        <w:t xml:space="preserve"> </w:t>
      </w:r>
      <w:r w:rsidRPr="00843145">
        <w:rPr>
          <w:color w:val="000000"/>
        </w:rPr>
        <w:t>goods</w:t>
      </w:r>
      <w:r w:rsidR="00432C4B" w:rsidRPr="00843145">
        <w:rPr>
          <w:bCs/>
          <w:color w:val="000000"/>
        </w:rPr>
        <w:t xml:space="preserve"> </w:t>
      </w:r>
      <w:r w:rsidRPr="00843145">
        <w:rPr>
          <w:color w:val="000000"/>
        </w:rPr>
        <w:t>are dissimilar. As the identity or similarity of goods and services</w:t>
      </w:r>
      <w:r w:rsidR="00F818B8" w:rsidRPr="00843145">
        <w:rPr>
          <w:color w:val="000000"/>
        </w:rPr>
        <w:t xml:space="preserve"> </w:t>
      </w:r>
      <w:r w:rsidRPr="00843145">
        <w:rPr>
          <w:color w:val="000000"/>
        </w:rPr>
        <w:t>is a necessary condition for the application of Article</w:t>
      </w:r>
      <w:r w:rsidR="00432C4B" w:rsidRPr="00843145">
        <w:rPr>
          <w:color w:val="000000"/>
        </w:rPr>
        <w:t> </w:t>
      </w:r>
      <w:r w:rsidRPr="00843145">
        <w:rPr>
          <w:color w:val="000000"/>
        </w:rPr>
        <w:t>8(1)(b) EUTMR, the opposition based on this Article and directed at these</w:t>
      </w:r>
      <w:r w:rsidR="00432C4B" w:rsidRPr="00843145">
        <w:rPr>
          <w:color w:val="000000"/>
        </w:rPr>
        <w:t xml:space="preserve"> </w:t>
      </w:r>
      <w:r w:rsidRPr="00843145">
        <w:rPr>
          <w:color w:val="000000"/>
        </w:rPr>
        <w:t>goods</w:t>
      </w:r>
      <w:r w:rsidR="00432C4B" w:rsidRPr="00843145">
        <w:rPr>
          <w:color w:val="000000"/>
        </w:rPr>
        <w:t xml:space="preserve"> </w:t>
      </w:r>
      <w:r w:rsidRPr="00843145">
        <w:rPr>
          <w:color w:val="000000"/>
        </w:rPr>
        <w:t>cannot be successful.</w:t>
      </w:r>
    </w:p>
    <w:p w14:paraId="48752257" w14:textId="253B6CF6" w:rsidR="00D72E13" w:rsidRPr="00843145" w:rsidRDefault="00D72E13">
      <w:pPr>
        <w:jc w:val="both"/>
      </w:pPr>
    </w:p>
    <w:p w14:paraId="48E2DC61" w14:textId="57240B4C" w:rsidR="00D72E13" w:rsidRPr="00843145" w:rsidRDefault="00943FA7">
      <w:pPr>
        <w:jc w:val="both"/>
      </w:pPr>
      <w:bookmarkStart w:id="21" w:name="chk-paragraph-9-3-8-1_nodeId--107668081"/>
      <w:bookmarkEnd w:id="20"/>
      <w:r w:rsidRPr="00843145">
        <w:rPr>
          <w:color w:val="000000"/>
        </w:rPr>
        <w:t xml:space="preserve">Since the opposition is partially successful </w:t>
      </w:r>
      <w:proofErr w:type="gramStart"/>
      <w:r w:rsidRPr="00843145">
        <w:rPr>
          <w:color w:val="000000"/>
        </w:rPr>
        <w:t>on the basis of</w:t>
      </w:r>
      <w:proofErr w:type="gramEnd"/>
      <w:r w:rsidRPr="00843145">
        <w:rPr>
          <w:color w:val="000000"/>
        </w:rPr>
        <w:t xml:space="preserve"> the inherent distinctiveness of the earlier marks, there is no need to assess the enhanced degree of distinctiveness of the opponent's marks</w:t>
      </w:r>
      <w:r w:rsidR="00432C4B" w:rsidRPr="00843145">
        <w:rPr>
          <w:color w:val="000000"/>
        </w:rPr>
        <w:t xml:space="preserve"> </w:t>
      </w:r>
      <w:r w:rsidRPr="00843145">
        <w:rPr>
          <w:color w:val="000000"/>
        </w:rPr>
        <w:t>due to</w:t>
      </w:r>
      <w:r w:rsidR="00432C4B" w:rsidRPr="00843145">
        <w:rPr>
          <w:color w:val="000000"/>
        </w:rPr>
        <w:t xml:space="preserve"> </w:t>
      </w:r>
      <w:r w:rsidRPr="00843145">
        <w:rPr>
          <w:color w:val="000000"/>
        </w:rPr>
        <w:t>their extensive use</w:t>
      </w:r>
      <w:r w:rsidR="00432C4B" w:rsidRPr="00843145">
        <w:rPr>
          <w:color w:val="000000"/>
        </w:rPr>
        <w:t xml:space="preserve"> and </w:t>
      </w:r>
      <w:r w:rsidRPr="00843145">
        <w:rPr>
          <w:color w:val="000000"/>
        </w:rPr>
        <w:t>reputation</w:t>
      </w:r>
      <w:r w:rsidR="00432C4B" w:rsidRPr="00843145">
        <w:rPr>
          <w:color w:val="000000"/>
        </w:rPr>
        <w:t xml:space="preserve"> </w:t>
      </w:r>
      <w:r w:rsidRPr="00843145">
        <w:rPr>
          <w:color w:val="000000"/>
        </w:rPr>
        <w:t xml:space="preserve">as claimed by the opponent and in relation to identical </w:t>
      </w:r>
      <w:r w:rsidR="00C34610" w:rsidRPr="00843145">
        <w:rPr>
          <w:color w:val="000000"/>
        </w:rPr>
        <w:t>or</w:t>
      </w:r>
      <w:r w:rsidRPr="00843145">
        <w:rPr>
          <w:color w:val="000000"/>
        </w:rPr>
        <w:t xml:space="preserve"> similar</w:t>
      </w:r>
      <w:r w:rsidR="00432C4B" w:rsidRPr="00843145">
        <w:rPr>
          <w:color w:val="000000"/>
        </w:rPr>
        <w:t xml:space="preserve"> </w:t>
      </w:r>
      <w:r w:rsidRPr="00843145">
        <w:rPr>
          <w:color w:val="000000"/>
        </w:rPr>
        <w:t>goods and services. The result would be the same even if the earlier marks</w:t>
      </w:r>
      <w:r w:rsidR="00432C4B" w:rsidRPr="00843145">
        <w:rPr>
          <w:color w:val="000000"/>
        </w:rPr>
        <w:t xml:space="preserve"> </w:t>
      </w:r>
      <w:r w:rsidRPr="00843145">
        <w:rPr>
          <w:color w:val="000000"/>
        </w:rPr>
        <w:t>enjoyed an enhanced degree of distinctiveness.</w:t>
      </w:r>
    </w:p>
    <w:p w14:paraId="422D57D8" w14:textId="7034D12E" w:rsidR="00D72E13" w:rsidRPr="00843145" w:rsidRDefault="00D72E13">
      <w:pPr>
        <w:jc w:val="both"/>
      </w:pPr>
    </w:p>
    <w:p w14:paraId="608FD4CE" w14:textId="6F275B64" w:rsidR="00D72E13" w:rsidRPr="00843145" w:rsidRDefault="00943FA7">
      <w:pPr>
        <w:jc w:val="both"/>
        <w:rPr>
          <w:color w:val="000000"/>
        </w:rPr>
      </w:pPr>
      <w:r w:rsidRPr="00843145">
        <w:rPr>
          <w:color w:val="000000"/>
        </w:rPr>
        <w:t>Likewise, there is no need to assess the claimed enhanced degree of distinctiveness of the opponent's marks</w:t>
      </w:r>
      <w:r w:rsidR="00432C4B" w:rsidRPr="00843145">
        <w:rPr>
          <w:color w:val="000000"/>
        </w:rPr>
        <w:t xml:space="preserve"> </w:t>
      </w:r>
      <w:r w:rsidRPr="00843145">
        <w:rPr>
          <w:color w:val="000000"/>
        </w:rPr>
        <w:t>in relation to dissimilar</w:t>
      </w:r>
      <w:r w:rsidR="00432C4B" w:rsidRPr="00843145">
        <w:rPr>
          <w:color w:val="000000"/>
        </w:rPr>
        <w:t xml:space="preserve"> </w:t>
      </w:r>
      <w:r w:rsidRPr="00843145">
        <w:rPr>
          <w:color w:val="000000"/>
        </w:rPr>
        <w:t>goods, as the similarity of goods and services is a</w:t>
      </w:r>
      <w:r w:rsidR="00843145" w:rsidRPr="00843145">
        <w:rPr>
          <w:color w:val="000000"/>
        </w:rPr>
        <w:t xml:space="preserve"> </w:t>
      </w:r>
      <w:r w:rsidRPr="00843145">
        <w:rPr>
          <w:i/>
          <w:color w:val="000000"/>
        </w:rPr>
        <w:t>sine qua non</w:t>
      </w:r>
      <w:r w:rsidR="00843145" w:rsidRPr="00843145">
        <w:rPr>
          <w:color w:val="000000"/>
        </w:rPr>
        <w:t xml:space="preserve"> </w:t>
      </w:r>
      <w:r w:rsidRPr="00843145">
        <w:rPr>
          <w:color w:val="000000"/>
        </w:rPr>
        <w:t>for there to be likelihood of confusion. The result would be the same even if the earlier mark</w:t>
      </w:r>
      <w:r w:rsidR="00432C4B" w:rsidRPr="00843145">
        <w:rPr>
          <w:color w:val="000000"/>
        </w:rPr>
        <w:t xml:space="preserve">s </w:t>
      </w:r>
      <w:r w:rsidRPr="00843145">
        <w:rPr>
          <w:color w:val="000000"/>
        </w:rPr>
        <w:t>enjoyed an enhanced degree of distinctiveness.</w:t>
      </w:r>
    </w:p>
    <w:p w14:paraId="73B04726" w14:textId="77777777" w:rsidR="00DC253C" w:rsidRPr="00843145" w:rsidRDefault="00DC253C">
      <w:pPr>
        <w:jc w:val="both"/>
        <w:rPr>
          <w:color w:val="000000"/>
        </w:rPr>
      </w:pPr>
    </w:p>
    <w:p w14:paraId="58CF7216" w14:textId="5000A93F" w:rsidR="00DC253C" w:rsidRPr="00843145" w:rsidRDefault="00DC253C" w:rsidP="00DC253C">
      <w:pPr>
        <w:jc w:val="both"/>
      </w:pPr>
      <w:r w:rsidRPr="00843145">
        <w:t xml:space="preserve">The examination of the opposition will </w:t>
      </w:r>
      <w:proofErr w:type="gramStart"/>
      <w:r w:rsidRPr="00843145">
        <w:t>continue on</w:t>
      </w:r>
      <w:proofErr w:type="gramEnd"/>
      <w:r w:rsidRPr="00843145">
        <w:t xml:space="preserve"> the grounds of Article 8(5) EUTMR in relation to the dissimilar goods.</w:t>
      </w:r>
    </w:p>
    <w:p w14:paraId="2AA36110" w14:textId="77777777" w:rsidR="00DC253C" w:rsidRPr="00843145" w:rsidRDefault="00DC253C">
      <w:pPr>
        <w:jc w:val="both"/>
      </w:pPr>
    </w:p>
    <w:p w14:paraId="08E3CCCA" w14:textId="4431DA0D" w:rsidR="00D72E13" w:rsidRPr="00843145" w:rsidRDefault="00D72E13">
      <w:pPr>
        <w:jc w:val="both"/>
      </w:pPr>
    </w:p>
    <w:p w14:paraId="26340EB7" w14:textId="2522A8C5" w:rsidR="00D72E13" w:rsidRPr="00843145" w:rsidRDefault="00943FA7">
      <w:pPr>
        <w:jc w:val="both"/>
      </w:pPr>
      <w:bookmarkStart w:id="22" w:name="chk-paragraph-10_nodeId--1736014671"/>
      <w:bookmarkEnd w:id="21"/>
      <w:r w:rsidRPr="00843145">
        <w:rPr>
          <w:b/>
          <w:color w:val="000000"/>
        </w:rPr>
        <w:t>REPUTATION — ARTICLE 8(5) EUTMR</w:t>
      </w:r>
    </w:p>
    <w:p w14:paraId="36255833" w14:textId="77777777" w:rsidR="00D72E13" w:rsidRPr="00843145" w:rsidRDefault="00D72E13">
      <w:pPr>
        <w:jc w:val="both"/>
      </w:pPr>
    </w:p>
    <w:p w14:paraId="7D1FE782" w14:textId="31809DDC" w:rsidR="00D72E13" w:rsidRPr="00843145" w:rsidRDefault="00943FA7">
      <w:pPr>
        <w:jc w:val="both"/>
      </w:pPr>
      <w:r w:rsidRPr="00843145">
        <w:rPr>
          <w:color w:val="000000"/>
        </w:rPr>
        <w:t>In relation to Article</w:t>
      </w:r>
      <w:r w:rsidR="00DC253C" w:rsidRPr="00843145">
        <w:rPr>
          <w:color w:val="000000"/>
        </w:rPr>
        <w:t> </w:t>
      </w:r>
      <w:r w:rsidRPr="00843145">
        <w:rPr>
          <w:color w:val="000000"/>
        </w:rPr>
        <w:t xml:space="preserve">8(5) EUTMR, the opponent invoked earlier </w:t>
      </w:r>
      <w:r w:rsidR="00DC253C" w:rsidRPr="00843145">
        <w:rPr>
          <w:color w:val="000000"/>
        </w:rPr>
        <w:t xml:space="preserve">European Union </w:t>
      </w:r>
      <w:proofErr w:type="gramStart"/>
      <w:r w:rsidR="00DC253C" w:rsidRPr="00843145">
        <w:rPr>
          <w:color w:val="000000"/>
        </w:rPr>
        <w:t>trade mark</w:t>
      </w:r>
      <w:proofErr w:type="gramEnd"/>
      <w:r w:rsidR="00DC253C" w:rsidRPr="00843145">
        <w:rPr>
          <w:color w:val="000000"/>
        </w:rPr>
        <w:t xml:space="preserve"> registration No 18 274 812.</w:t>
      </w:r>
    </w:p>
    <w:p w14:paraId="4C0164DB" w14:textId="77777777" w:rsidR="00D72E13" w:rsidRPr="00843145" w:rsidRDefault="00D72E13">
      <w:pPr>
        <w:jc w:val="both"/>
      </w:pPr>
    </w:p>
    <w:p w14:paraId="480F9653" w14:textId="08FEC375" w:rsidR="00D72E13" w:rsidRPr="00843145" w:rsidRDefault="00943FA7">
      <w:pPr>
        <w:jc w:val="both"/>
      </w:pPr>
      <w:r w:rsidRPr="00843145">
        <w:rPr>
          <w:color w:val="000000"/>
        </w:rPr>
        <w:t>According to Article 8(5) EUTMR, upon opposition by the proprietor of a registered earlier trade mark within the meaning of Article 8(2) EUTMR, the contested trade mark will not be registered where it is identical with, or similar to, an earlier trade mark, irrespective of whether the goods or services for which it is applied are identical with, similar to or not similar to those for which the earlier trade mark is registered, where, in the case of an earlier European Union trade mark, the trade mark has a reputation in the Union or, in the case of an earlier national trade mark, the trade mark has a reputation in the Member State concerned and where the use without due cause of the contested trade mark would take unfair advantage of, or be detrimental to, the distinctive character or the repute of the earlier trade mark.</w:t>
      </w:r>
    </w:p>
    <w:p w14:paraId="1906CBF7" w14:textId="5321A7F4" w:rsidR="00D72E13" w:rsidRPr="00843145" w:rsidRDefault="00D72E13">
      <w:pPr>
        <w:jc w:val="both"/>
      </w:pPr>
    </w:p>
    <w:p w14:paraId="34CB8618" w14:textId="16AB84D0" w:rsidR="00D72E13" w:rsidRPr="00843145" w:rsidRDefault="00943FA7">
      <w:pPr>
        <w:jc w:val="both"/>
      </w:pPr>
      <w:bookmarkStart w:id="23" w:name="chk-paragraph-10-3_nodeId-1007701332"/>
      <w:bookmarkEnd w:id="22"/>
      <w:r w:rsidRPr="00843145">
        <w:rPr>
          <w:color w:val="000000"/>
        </w:rPr>
        <w:t>Therefore, the grounds for refusal of Article 8(5) EUTMR are only applicable when the following conditions are met.</w:t>
      </w:r>
    </w:p>
    <w:p w14:paraId="7EE40581" w14:textId="4D351435" w:rsidR="00D72E13" w:rsidRPr="00843145" w:rsidRDefault="00D72E13">
      <w:pPr>
        <w:jc w:val="both"/>
      </w:pPr>
    </w:p>
    <w:p w14:paraId="0CB42E50" w14:textId="46AB85A0" w:rsidR="00D72E13" w:rsidRPr="00843145" w:rsidRDefault="00843145" w:rsidP="00843145">
      <w:pPr>
        <w:ind w:left="960" w:hanging="360"/>
        <w:jc w:val="both"/>
      </w:pPr>
      <w:r w:rsidRPr="00843145">
        <w:rPr>
          <w:rFonts w:ascii="Symbol" w:hAnsi="Symbol"/>
        </w:rPr>
        <w:t></w:t>
      </w:r>
      <w:r w:rsidRPr="00843145">
        <w:rPr>
          <w:rFonts w:ascii="Symbol" w:hAnsi="Symbol"/>
        </w:rPr>
        <w:tab/>
      </w:r>
      <w:r w:rsidR="00943FA7" w:rsidRPr="00843145">
        <w:rPr>
          <w:color w:val="000000"/>
        </w:rPr>
        <w:t>The signs must be either identical or similar.</w:t>
      </w:r>
    </w:p>
    <w:p w14:paraId="77615DB2" w14:textId="0855038F" w:rsidR="00D72E13" w:rsidRPr="00843145" w:rsidRDefault="00D72E13">
      <w:pPr>
        <w:ind w:left="960"/>
        <w:jc w:val="both"/>
      </w:pPr>
    </w:p>
    <w:p w14:paraId="6D545D10" w14:textId="77DBCF45" w:rsidR="00D72E13" w:rsidRPr="00843145" w:rsidRDefault="00843145" w:rsidP="00843145">
      <w:pPr>
        <w:ind w:left="960" w:hanging="360"/>
        <w:jc w:val="both"/>
      </w:pPr>
      <w:r w:rsidRPr="00843145">
        <w:rPr>
          <w:rFonts w:ascii="Symbol" w:hAnsi="Symbol"/>
        </w:rPr>
        <w:t></w:t>
      </w:r>
      <w:r w:rsidRPr="00843145">
        <w:rPr>
          <w:rFonts w:ascii="Symbol" w:hAnsi="Symbol"/>
        </w:rPr>
        <w:tab/>
      </w:r>
      <w:r w:rsidR="00943FA7" w:rsidRPr="00843145">
        <w:rPr>
          <w:color w:val="000000"/>
        </w:rPr>
        <w:t xml:space="preserve">The opponent’s </w:t>
      </w:r>
      <w:proofErr w:type="gramStart"/>
      <w:r w:rsidR="00943FA7" w:rsidRPr="00843145">
        <w:rPr>
          <w:color w:val="000000"/>
        </w:rPr>
        <w:t>trade mark</w:t>
      </w:r>
      <w:proofErr w:type="gramEnd"/>
      <w:r w:rsidR="00943FA7" w:rsidRPr="00843145">
        <w:rPr>
          <w:color w:val="000000"/>
        </w:rPr>
        <w:t xml:space="preserve"> must have a reputation. The reputation must also be prior to the filing of the contested </w:t>
      </w:r>
      <w:proofErr w:type="gramStart"/>
      <w:r w:rsidR="00943FA7" w:rsidRPr="00843145">
        <w:rPr>
          <w:color w:val="000000"/>
        </w:rPr>
        <w:t>trade mark</w:t>
      </w:r>
      <w:proofErr w:type="gramEnd"/>
      <w:r w:rsidR="00943FA7" w:rsidRPr="00843145">
        <w:rPr>
          <w:color w:val="000000"/>
        </w:rPr>
        <w:t>; it must exist in the territory concerned and for the goods and/or services on which the opposition is based.</w:t>
      </w:r>
    </w:p>
    <w:p w14:paraId="58832220" w14:textId="4076314F" w:rsidR="00D72E13" w:rsidRPr="00843145" w:rsidRDefault="00D72E13">
      <w:pPr>
        <w:ind w:left="960"/>
        <w:jc w:val="both"/>
      </w:pPr>
    </w:p>
    <w:p w14:paraId="39C11472" w14:textId="2433F21C" w:rsidR="00D72E13" w:rsidRPr="00843145" w:rsidRDefault="00843145" w:rsidP="00843145">
      <w:pPr>
        <w:ind w:left="960" w:hanging="360"/>
        <w:jc w:val="both"/>
      </w:pPr>
      <w:r w:rsidRPr="00843145">
        <w:rPr>
          <w:rFonts w:ascii="Symbol" w:hAnsi="Symbol"/>
        </w:rPr>
        <w:t></w:t>
      </w:r>
      <w:r w:rsidRPr="00843145">
        <w:rPr>
          <w:rFonts w:ascii="Symbol" w:hAnsi="Symbol"/>
        </w:rPr>
        <w:tab/>
      </w:r>
      <w:r w:rsidR="00943FA7" w:rsidRPr="00843145">
        <w:rPr>
          <w:color w:val="000000"/>
        </w:rPr>
        <w:t xml:space="preserve">Risk of injury: use of the contested </w:t>
      </w:r>
      <w:proofErr w:type="gramStart"/>
      <w:r w:rsidR="00943FA7" w:rsidRPr="00843145">
        <w:rPr>
          <w:color w:val="000000"/>
        </w:rPr>
        <w:t>trade mark</w:t>
      </w:r>
      <w:proofErr w:type="gramEnd"/>
      <w:r w:rsidR="00943FA7" w:rsidRPr="00843145">
        <w:rPr>
          <w:color w:val="000000"/>
        </w:rPr>
        <w:t xml:space="preserve"> would take unfair advantage of, or be detrimental to, the distinctive character or repute of the earlier </w:t>
      </w:r>
      <w:proofErr w:type="gramStart"/>
      <w:r w:rsidR="00943FA7" w:rsidRPr="00843145">
        <w:rPr>
          <w:color w:val="000000"/>
        </w:rPr>
        <w:t>trade mark</w:t>
      </w:r>
      <w:proofErr w:type="gramEnd"/>
      <w:r w:rsidR="00943FA7" w:rsidRPr="00843145">
        <w:rPr>
          <w:color w:val="000000"/>
        </w:rPr>
        <w:t>.</w:t>
      </w:r>
    </w:p>
    <w:p w14:paraId="3F3A25B1" w14:textId="114E6B8F" w:rsidR="00D72E13" w:rsidRPr="00843145" w:rsidRDefault="00D72E13">
      <w:pPr>
        <w:jc w:val="both"/>
      </w:pPr>
    </w:p>
    <w:p w14:paraId="34C4CDB2" w14:textId="303B5DE0" w:rsidR="00D72E13" w:rsidRPr="00843145" w:rsidRDefault="00943FA7">
      <w:pPr>
        <w:jc w:val="both"/>
      </w:pPr>
      <w:r w:rsidRPr="00843145">
        <w:rPr>
          <w:color w:val="000000"/>
        </w:rPr>
        <w:t>The abovementioned requirements are cumulative and, therefore, the absence of any one of them will lead to the rejection of the opposition under Article 8(5) EUTMR (16/12/2010, T-357/08, BOTOCYL / BOTOX, EU:T:2010:529, §</w:t>
      </w:r>
      <w:r w:rsidR="00C34610" w:rsidRPr="00843145">
        <w:rPr>
          <w:color w:val="000000"/>
        </w:rPr>
        <w:t> </w:t>
      </w:r>
      <w:r w:rsidRPr="00843145">
        <w:rPr>
          <w:color w:val="000000"/>
        </w:rPr>
        <w:t>41; 16/12/2010, T-345/08, BOTOLIST / BOTOX, EU:T:2010:529, §</w:t>
      </w:r>
      <w:r w:rsidR="00C34610" w:rsidRPr="00843145">
        <w:rPr>
          <w:color w:val="000000"/>
        </w:rPr>
        <w:t> </w:t>
      </w:r>
      <w:r w:rsidRPr="00843145">
        <w:rPr>
          <w:color w:val="000000"/>
        </w:rPr>
        <w:t xml:space="preserve">41). However, the fulfilment of all the abovementioned conditions may not be sufficient. The opposition may still fail if the applicant establishes due cause for the use of the contested </w:t>
      </w:r>
      <w:proofErr w:type="gramStart"/>
      <w:r w:rsidRPr="00843145">
        <w:rPr>
          <w:color w:val="000000"/>
        </w:rPr>
        <w:t>trade mark</w:t>
      </w:r>
      <w:proofErr w:type="gramEnd"/>
      <w:r w:rsidRPr="00843145">
        <w:rPr>
          <w:color w:val="000000"/>
        </w:rPr>
        <w:t>.</w:t>
      </w:r>
    </w:p>
    <w:p w14:paraId="7D13E9B2" w14:textId="088107D9" w:rsidR="00D72E13" w:rsidRPr="00843145" w:rsidRDefault="00D72E13">
      <w:pPr>
        <w:jc w:val="both"/>
      </w:pPr>
    </w:p>
    <w:p w14:paraId="7FF94F2A" w14:textId="63E6ACB7" w:rsidR="00D72E13" w:rsidRPr="00843145" w:rsidRDefault="00943FA7" w:rsidP="00F33864">
      <w:pPr>
        <w:spacing w:before="120"/>
        <w:jc w:val="both"/>
      </w:pPr>
      <w:bookmarkStart w:id="24" w:name="chk-paragraph-10-3-2_nodeId-467146027"/>
      <w:bookmarkEnd w:id="23"/>
      <w:r w:rsidRPr="00843145">
        <w:rPr>
          <w:b/>
          <w:color w:val="000000"/>
        </w:rPr>
        <w:lastRenderedPageBreak/>
        <w:t xml:space="preserve">a) Reputation of the earlier </w:t>
      </w:r>
      <w:proofErr w:type="gramStart"/>
      <w:r w:rsidRPr="00843145">
        <w:rPr>
          <w:b/>
          <w:color w:val="000000"/>
        </w:rPr>
        <w:t>trade mark</w:t>
      </w:r>
      <w:proofErr w:type="gramEnd"/>
    </w:p>
    <w:p w14:paraId="1A5F080E" w14:textId="237CD6B4" w:rsidR="00D72E13" w:rsidRPr="00843145" w:rsidRDefault="00D72E13">
      <w:pPr>
        <w:jc w:val="both"/>
      </w:pPr>
    </w:p>
    <w:p w14:paraId="2E255B83" w14:textId="77777777" w:rsidR="00D72E13" w:rsidRPr="00843145" w:rsidRDefault="00943FA7">
      <w:pPr>
        <w:jc w:val="both"/>
      </w:pPr>
      <w:bookmarkStart w:id="25" w:name="chk-paragraph-10-3-2-2_nodeId-1815332203"/>
      <w:bookmarkEnd w:id="24"/>
      <w:r w:rsidRPr="00843145">
        <w:rPr>
          <w:color w:val="000000"/>
        </w:rPr>
        <w:t>Reputation implies a knowledge threshold that is reached only when the earlier mark is known by a significant part of the relevant public for the goods or services it covers. The relevant public is, depending on the goods or services marketed, either the public at large or a more specialised public.</w:t>
      </w:r>
    </w:p>
    <w:p w14:paraId="6A348256" w14:textId="760483CA" w:rsidR="00D72E13" w:rsidRPr="00843145" w:rsidRDefault="00D72E13">
      <w:pPr>
        <w:jc w:val="both"/>
      </w:pPr>
    </w:p>
    <w:p w14:paraId="7B78FD99" w14:textId="72AEC3F2" w:rsidR="00D72E13" w:rsidRPr="00843145" w:rsidRDefault="00943FA7">
      <w:pPr>
        <w:jc w:val="both"/>
      </w:pPr>
      <w:r w:rsidRPr="00843145">
        <w:rPr>
          <w:color w:val="000000"/>
        </w:rPr>
        <w:t>In the present case,</w:t>
      </w:r>
      <w:r w:rsidR="00DC253C" w:rsidRPr="00843145">
        <w:rPr>
          <w:color w:val="000000"/>
        </w:rPr>
        <w:t xml:space="preserve"> </w:t>
      </w:r>
      <w:r w:rsidRPr="00843145">
        <w:rPr>
          <w:color w:val="000000"/>
        </w:rPr>
        <w:t xml:space="preserve">the contested </w:t>
      </w:r>
      <w:proofErr w:type="gramStart"/>
      <w:r w:rsidRPr="00843145">
        <w:rPr>
          <w:color w:val="000000"/>
        </w:rPr>
        <w:t>trade mark</w:t>
      </w:r>
      <w:proofErr w:type="gramEnd"/>
      <w:r w:rsidRPr="00843145">
        <w:rPr>
          <w:color w:val="000000"/>
        </w:rPr>
        <w:t xml:space="preserve"> was filed</w:t>
      </w:r>
      <w:r w:rsidR="00DC253C" w:rsidRPr="00843145">
        <w:rPr>
          <w:color w:val="000000"/>
        </w:rPr>
        <w:t xml:space="preserve"> </w:t>
      </w:r>
      <w:r w:rsidRPr="00843145">
        <w:rPr>
          <w:color w:val="000000"/>
        </w:rPr>
        <w:t xml:space="preserve">on 06/09/2024. Therefore, the opponent was required to prove that the </w:t>
      </w:r>
      <w:proofErr w:type="gramStart"/>
      <w:r w:rsidRPr="00843145">
        <w:rPr>
          <w:color w:val="000000"/>
        </w:rPr>
        <w:t>trade mark</w:t>
      </w:r>
      <w:proofErr w:type="gramEnd"/>
      <w:r w:rsidR="001402C8" w:rsidRPr="00843145">
        <w:rPr>
          <w:color w:val="000000"/>
        </w:rPr>
        <w:t xml:space="preserve"> </w:t>
      </w:r>
      <w:r w:rsidRPr="00843145">
        <w:rPr>
          <w:color w:val="000000"/>
        </w:rPr>
        <w:t>on which the opposition is based had acquired a reputation</w:t>
      </w:r>
      <w:r w:rsidR="001402C8" w:rsidRPr="00843145">
        <w:rPr>
          <w:color w:val="000000"/>
        </w:rPr>
        <w:t xml:space="preserve"> </w:t>
      </w:r>
      <w:r w:rsidRPr="00843145">
        <w:rPr>
          <w:color w:val="000000"/>
        </w:rPr>
        <w:t>prior to that date.</w:t>
      </w:r>
      <w:r w:rsidR="001402C8" w:rsidRPr="00843145">
        <w:rPr>
          <w:color w:val="000000"/>
        </w:rPr>
        <w:t xml:space="preserve"> </w:t>
      </w:r>
      <w:r w:rsidRPr="00843145">
        <w:rPr>
          <w:color w:val="000000"/>
        </w:rPr>
        <w:t>In principle, it is sufficient that the opponent show that its mark already had a reputation on that date. While it follows from the wording of Article</w:t>
      </w:r>
      <w:r w:rsidR="001402C8" w:rsidRPr="00843145">
        <w:rPr>
          <w:color w:val="000000"/>
        </w:rPr>
        <w:t> </w:t>
      </w:r>
      <w:r w:rsidRPr="00843145">
        <w:rPr>
          <w:color w:val="000000"/>
        </w:rPr>
        <w:t>8(5) EUTMR that the conditions for its application also need to be present at the time of taking the decision, and therefore the reputation of the earlier mark must subsist until the decision on the opposition is taken, any subsequent loss of reputation is for the applicant to claim and prove.</w:t>
      </w:r>
    </w:p>
    <w:p w14:paraId="6BA5C70C" w14:textId="77777777" w:rsidR="00D72E13" w:rsidRPr="00843145" w:rsidRDefault="00D72E13">
      <w:pPr>
        <w:jc w:val="both"/>
      </w:pPr>
    </w:p>
    <w:p w14:paraId="01D3989A" w14:textId="0C4245FE" w:rsidR="00D72E13" w:rsidRPr="00843145" w:rsidRDefault="00943FA7">
      <w:pPr>
        <w:jc w:val="both"/>
      </w:pPr>
      <w:r w:rsidRPr="00843145">
        <w:rPr>
          <w:color w:val="000000"/>
        </w:rPr>
        <w:t>The evidence must also show that the reputation was acquired for the</w:t>
      </w:r>
      <w:r w:rsidR="001402C8" w:rsidRPr="00843145">
        <w:rPr>
          <w:color w:val="000000"/>
        </w:rPr>
        <w:t xml:space="preserve"> </w:t>
      </w:r>
      <w:r w:rsidRPr="00843145">
        <w:rPr>
          <w:color w:val="000000"/>
        </w:rPr>
        <w:t>goods</w:t>
      </w:r>
      <w:r w:rsidR="001402C8" w:rsidRPr="00843145">
        <w:rPr>
          <w:color w:val="000000"/>
        </w:rPr>
        <w:t xml:space="preserve"> </w:t>
      </w:r>
      <w:r w:rsidRPr="00843145">
        <w:rPr>
          <w:color w:val="000000"/>
        </w:rPr>
        <w:t>for which the opponent has claimed reputation, namely</w:t>
      </w:r>
      <w:r w:rsidR="001402C8" w:rsidRPr="00843145">
        <w:rPr>
          <w:color w:val="000000"/>
        </w:rPr>
        <w:t>:</w:t>
      </w:r>
    </w:p>
    <w:p w14:paraId="2D91F4B5" w14:textId="77777777" w:rsidR="00D72E13" w:rsidRPr="00843145" w:rsidRDefault="00D72E13">
      <w:pPr>
        <w:jc w:val="both"/>
      </w:pPr>
    </w:p>
    <w:p w14:paraId="3403A9FD" w14:textId="577FBF33" w:rsidR="00D72E13" w:rsidRPr="00843145" w:rsidRDefault="00943FA7" w:rsidP="001402C8">
      <w:pPr>
        <w:jc w:val="both"/>
      </w:pPr>
      <w:r w:rsidRPr="00843145">
        <w:rPr>
          <w:color w:val="000000"/>
        </w:rPr>
        <w:t>Class</w:t>
      </w:r>
      <w:r w:rsidR="001402C8" w:rsidRPr="00843145">
        <w:rPr>
          <w:color w:val="000000"/>
        </w:rPr>
        <w:t> </w:t>
      </w:r>
      <w:r w:rsidRPr="00843145">
        <w:rPr>
          <w:color w:val="000000"/>
        </w:rPr>
        <w:t xml:space="preserve">18: </w:t>
      </w:r>
      <w:r w:rsidR="001402C8" w:rsidRPr="00843145">
        <w:rPr>
          <w:i/>
          <w:color w:val="000000"/>
        </w:rPr>
        <w:t>B</w:t>
      </w:r>
      <w:r w:rsidRPr="00843145">
        <w:rPr>
          <w:i/>
          <w:color w:val="000000"/>
        </w:rPr>
        <w:t>ags; shoulder bags; travelling bags; hand bags; belt bags; sling bags for carrying infants; leather and cloth shoppers; trunk bags; shoppers; clutch bags; trunks; wallets; purses; document bags; briefcases; leather bags for packing; school bags; suitcases; garment bags for travel; key cases of leather; backpacks; empty beauty cases; general purpose trolley bags; beach bags; umbrellas; baby carriers; key cases.</w:t>
      </w:r>
    </w:p>
    <w:p w14:paraId="4C642197" w14:textId="77777777" w:rsidR="001402C8" w:rsidRPr="00843145" w:rsidRDefault="001402C8" w:rsidP="001402C8">
      <w:pPr>
        <w:jc w:val="both"/>
        <w:rPr>
          <w:color w:val="000000"/>
        </w:rPr>
      </w:pPr>
    </w:p>
    <w:p w14:paraId="0B9D198B" w14:textId="02C12B9B" w:rsidR="00D72E13" w:rsidRPr="00843145" w:rsidRDefault="00943FA7" w:rsidP="001402C8">
      <w:pPr>
        <w:jc w:val="both"/>
      </w:pPr>
      <w:r w:rsidRPr="00843145">
        <w:rPr>
          <w:color w:val="000000"/>
        </w:rPr>
        <w:t>Class</w:t>
      </w:r>
      <w:r w:rsidR="001402C8" w:rsidRPr="00843145">
        <w:rPr>
          <w:color w:val="000000"/>
        </w:rPr>
        <w:t> </w:t>
      </w:r>
      <w:r w:rsidRPr="00843145">
        <w:rPr>
          <w:color w:val="000000"/>
        </w:rPr>
        <w:t xml:space="preserve">25: </w:t>
      </w:r>
      <w:r w:rsidRPr="00843145">
        <w:rPr>
          <w:i/>
          <w:color w:val="000000"/>
        </w:rPr>
        <w:t xml:space="preserve">Clothing; </w:t>
      </w:r>
      <w:r w:rsidR="001402C8" w:rsidRPr="00843145">
        <w:rPr>
          <w:i/>
          <w:color w:val="000000"/>
        </w:rPr>
        <w:t xml:space="preserve">footwear; headgear; sweaters; jerseys [clothing]; jackets; sweat shirts; parkas; swimming costumes; chemisettes; shirts; trousers; denim jeans; waistcoats; skirts; shorts; tee-shirts; gowns; men's suits; coats; mackintoshes; topcoats; fur coats and jackets; aprons [clothing]; underwear; shawls; scarves; neckties; gloves [clothing]; belts [clothing]; shoes; boots; sandals; slippers; hats; caps </w:t>
      </w:r>
      <w:r w:rsidRPr="00843145">
        <w:rPr>
          <w:i/>
          <w:color w:val="000000"/>
        </w:rPr>
        <w:t>[headwear].</w:t>
      </w:r>
    </w:p>
    <w:p w14:paraId="67F9A5C4" w14:textId="77777777" w:rsidR="00D72E13" w:rsidRPr="00843145" w:rsidRDefault="00D72E13">
      <w:pPr>
        <w:jc w:val="both"/>
      </w:pPr>
    </w:p>
    <w:p w14:paraId="3C801126" w14:textId="280C29FB" w:rsidR="00115516" w:rsidRPr="00843145" w:rsidRDefault="00943FA7" w:rsidP="009E3813">
      <w:pPr>
        <w:jc w:val="both"/>
      </w:pPr>
      <w:r w:rsidRPr="00843145">
        <w:rPr>
          <w:color w:val="000000"/>
        </w:rPr>
        <w:t>The opposition is directed against the following goods</w:t>
      </w:r>
      <w:r w:rsidR="00115516" w:rsidRPr="00843145">
        <w:rPr>
          <w:color w:val="000000"/>
        </w:rPr>
        <w:t>, which were found dissimilar under the grounds of Article 8(1)(b) EUTMR:</w:t>
      </w:r>
    </w:p>
    <w:p w14:paraId="2A0FAD6B" w14:textId="77777777" w:rsidR="00D72E13" w:rsidRPr="00843145" w:rsidRDefault="00D72E13" w:rsidP="009E3813">
      <w:pPr>
        <w:jc w:val="both"/>
      </w:pPr>
    </w:p>
    <w:p w14:paraId="367C9B91" w14:textId="79071014" w:rsidR="00D72E13" w:rsidRPr="00843145" w:rsidRDefault="00943FA7" w:rsidP="009E3813">
      <w:pPr>
        <w:jc w:val="both"/>
      </w:pPr>
      <w:r w:rsidRPr="00843145">
        <w:rPr>
          <w:color w:val="000000"/>
        </w:rPr>
        <w:t>Class</w:t>
      </w:r>
      <w:r w:rsidR="00115516" w:rsidRPr="00843145">
        <w:rPr>
          <w:color w:val="000000"/>
        </w:rPr>
        <w:t> </w:t>
      </w:r>
      <w:r w:rsidRPr="00843145">
        <w:rPr>
          <w:color w:val="000000"/>
        </w:rPr>
        <w:t xml:space="preserve">14: </w:t>
      </w:r>
      <w:r w:rsidR="009E3813" w:rsidRPr="00843145">
        <w:rPr>
          <w:i/>
          <w:color w:val="000000"/>
        </w:rPr>
        <w:t>Pre</w:t>
      </w:r>
      <w:r w:rsidRPr="00843145">
        <w:rPr>
          <w:i/>
          <w:color w:val="000000"/>
        </w:rPr>
        <w:t>cious metals and imitations thereof.</w:t>
      </w:r>
    </w:p>
    <w:p w14:paraId="25BFB30E" w14:textId="02FEC2D9" w:rsidR="00D72E13" w:rsidRPr="00843145" w:rsidRDefault="00D72E13" w:rsidP="009E3813">
      <w:pPr>
        <w:jc w:val="both"/>
      </w:pPr>
    </w:p>
    <w:p w14:paraId="4644F1C2" w14:textId="7A41029B" w:rsidR="00D72E13" w:rsidRPr="00843145" w:rsidRDefault="00943FA7">
      <w:pPr>
        <w:jc w:val="both"/>
      </w:pPr>
      <w:proofErr w:type="gramStart"/>
      <w:r w:rsidRPr="00843145">
        <w:rPr>
          <w:color w:val="000000"/>
        </w:rPr>
        <w:t>In order to</w:t>
      </w:r>
      <w:proofErr w:type="gramEnd"/>
      <w:r w:rsidRPr="00843145">
        <w:rPr>
          <w:color w:val="000000"/>
        </w:rPr>
        <w:t xml:space="preserve"> determine the mark’</w:t>
      </w:r>
      <w:r w:rsidR="00C34610" w:rsidRPr="00843145">
        <w:rPr>
          <w:color w:val="000000"/>
        </w:rPr>
        <w:t>s</w:t>
      </w:r>
      <w:r w:rsidRPr="00843145">
        <w:rPr>
          <w:color w:val="000000"/>
        </w:rPr>
        <w:t xml:space="preserve"> level of reputation, all the relevant facts of the case must be taken into consideration, including</w:t>
      </w:r>
      <w:proofErr w:type="gramStart"/>
      <w:r w:rsidRPr="00843145">
        <w:rPr>
          <w:color w:val="000000"/>
        </w:rPr>
        <w:t>, in particular, the</w:t>
      </w:r>
      <w:proofErr w:type="gramEnd"/>
      <w:r w:rsidRPr="00843145">
        <w:rPr>
          <w:color w:val="000000"/>
        </w:rPr>
        <w:t xml:space="preserve"> market share held by the </w:t>
      </w:r>
      <w:proofErr w:type="gramStart"/>
      <w:r w:rsidRPr="00843145">
        <w:rPr>
          <w:color w:val="000000"/>
        </w:rPr>
        <w:t>trade mark</w:t>
      </w:r>
      <w:proofErr w:type="gramEnd"/>
      <w:r w:rsidRPr="00843145">
        <w:rPr>
          <w:color w:val="000000"/>
        </w:rPr>
        <w:t xml:space="preserve">, the intensity, geographical extent and duration of </w:t>
      </w:r>
      <w:r w:rsidR="00C34610" w:rsidRPr="00843145">
        <w:rPr>
          <w:color w:val="000000"/>
        </w:rPr>
        <w:t>its</w:t>
      </w:r>
      <w:r w:rsidRPr="00843145">
        <w:rPr>
          <w:color w:val="000000"/>
        </w:rPr>
        <w:t xml:space="preserve"> use, and the size of the investment made by the undertaking in promoting </w:t>
      </w:r>
      <w:r w:rsidR="00C34610" w:rsidRPr="00843145">
        <w:rPr>
          <w:color w:val="000000"/>
        </w:rPr>
        <w:t>it</w:t>
      </w:r>
      <w:r w:rsidRPr="00843145">
        <w:rPr>
          <w:color w:val="000000"/>
        </w:rPr>
        <w:t>.</w:t>
      </w:r>
    </w:p>
    <w:p w14:paraId="5DFB78DD" w14:textId="493E1D4F" w:rsidR="00D72E13" w:rsidRPr="00843145" w:rsidRDefault="00D72E13">
      <w:pPr>
        <w:jc w:val="both"/>
      </w:pPr>
    </w:p>
    <w:p w14:paraId="1358AAE0" w14:textId="11B0C54D" w:rsidR="00D72E13" w:rsidRPr="00843145" w:rsidRDefault="00943FA7">
      <w:pPr>
        <w:jc w:val="both"/>
      </w:pPr>
      <w:r w:rsidRPr="00843145">
        <w:rPr>
          <w:color w:val="000000"/>
        </w:rPr>
        <w:t>On</w:t>
      </w:r>
      <w:r w:rsidR="007E3DBF" w:rsidRPr="00843145">
        <w:rPr>
          <w:color w:val="000000"/>
        </w:rPr>
        <w:t xml:space="preserve"> 28/05/202</w:t>
      </w:r>
      <w:r w:rsidR="00106774" w:rsidRPr="00843145">
        <w:rPr>
          <w:color w:val="000000"/>
        </w:rPr>
        <w:t xml:space="preserve">5 </w:t>
      </w:r>
      <w:r w:rsidRPr="00843145">
        <w:rPr>
          <w:color w:val="000000"/>
        </w:rPr>
        <w:t>the opponent submitted</w:t>
      </w:r>
      <w:r w:rsidR="00106774" w:rsidRPr="00843145">
        <w:rPr>
          <w:color w:val="000000"/>
        </w:rPr>
        <w:t xml:space="preserve"> </w:t>
      </w:r>
      <w:r w:rsidRPr="00843145">
        <w:rPr>
          <w:color w:val="000000"/>
        </w:rPr>
        <w:t>the following evidence:</w:t>
      </w:r>
    </w:p>
    <w:p w14:paraId="4BA01F21" w14:textId="458DD81D" w:rsidR="00D72E13" w:rsidRPr="00843145" w:rsidRDefault="00D72E13">
      <w:pPr>
        <w:jc w:val="both"/>
      </w:pPr>
    </w:p>
    <w:p w14:paraId="35102C82" w14:textId="3B214F10" w:rsidR="00DC604C" w:rsidRPr="00843145" w:rsidRDefault="002E201B" w:rsidP="00DC604C">
      <w:pPr>
        <w:jc w:val="both"/>
        <w:rPr>
          <w:rFonts w:eastAsia="Aptos"/>
          <w:kern w:val="2"/>
          <w:szCs w:val="22"/>
          <w:lang w:eastAsia="en-US"/>
          <w14:ligatures w14:val="standardContextual"/>
        </w:rPr>
      </w:pPr>
      <w:r w:rsidRPr="00843145">
        <w:rPr>
          <w:rFonts w:eastAsia="Aptos"/>
          <w:kern w:val="2"/>
          <w:szCs w:val="22"/>
          <w:lang w:eastAsia="en-US"/>
          <w14:ligatures w14:val="standardContextual"/>
        </w:rPr>
        <w:t xml:space="preserve">Exhibit 1: </w:t>
      </w:r>
      <w:r w:rsidR="00636DA4" w:rsidRPr="00843145">
        <w:rPr>
          <w:rFonts w:eastAsia="Aptos"/>
          <w:kern w:val="2"/>
          <w:szCs w:val="22"/>
          <w:lang w:eastAsia="en-US"/>
          <w14:ligatures w14:val="standardContextual"/>
        </w:rPr>
        <w:t xml:space="preserve">A </w:t>
      </w:r>
      <w:r w:rsidR="00B571C9" w:rsidRPr="00843145">
        <w:rPr>
          <w:rFonts w:eastAsia="Aptos"/>
          <w:kern w:val="2"/>
          <w:szCs w:val="22"/>
          <w:lang w:eastAsia="en-US"/>
          <w14:ligatures w14:val="standardContextual"/>
        </w:rPr>
        <w:t xml:space="preserve">Wikipedia publication, describing </w:t>
      </w:r>
      <w:r w:rsidR="00DC604C" w:rsidRPr="00843145">
        <w:rPr>
          <w:rFonts w:eastAsia="Aptos"/>
          <w:color w:val="000000"/>
          <w:szCs w:val="22"/>
          <w:lang w:eastAsia="en-US"/>
        </w:rPr>
        <w:t xml:space="preserve">Fendi </w:t>
      </w:r>
      <w:r w:rsidR="0049384F" w:rsidRPr="00843145">
        <w:rPr>
          <w:rFonts w:eastAsia="Aptos"/>
          <w:color w:val="000000"/>
          <w:szCs w:val="22"/>
          <w:lang w:eastAsia="en-US"/>
        </w:rPr>
        <w:t>a</w:t>
      </w:r>
      <w:r w:rsidR="00DC604C" w:rsidRPr="00843145">
        <w:rPr>
          <w:rFonts w:eastAsia="Aptos"/>
          <w:color w:val="000000"/>
          <w:szCs w:val="22"/>
          <w:lang w:eastAsia="en-US"/>
        </w:rPr>
        <w:t>s an Italian luxury fashion house producing fur, ready-to-wear, leather</w:t>
      </w:r>
      <w:r w:rsidR="00636DA4" w:rsidRPr="00843145">
        <w:rPr>
          <w:rFonts w:eastAsia="Aptos"/>
          <w:color w:val="000000"/>
          <w:szCs w:val="22"/>
          <w:lang w:eastAsia="en-US"/>
        </w:rPr>
        <w:t xml:space="preserve"> </w:t>
      </w:r>
      <w:r w:rsidR="00DC604C" w:rsidRPr="00843145">
        <w:rPr>
          <w:rFonts w:eastAsia="Aptos"/>
          <w:color w:val="000000"/>
          <w:szCs w:val="22"/>
          <w:lang w:eastAsia="en-US"/>
        </w:rPr>
        <w:t>goods, shoes, fragrances, eyewear, timepieces and</w:t>
      </w:r>
      <w:r w:rsidR="00FF4F8F" w:rsidRPr="00843145">
        <w:rPr>
          <w:rFonts w:eastAsia="Aptos"/>
          <w:color w:val="000000"/>
          <w:szCs w:val="22"/>
          <w:lang w:eastAsia="en-US"/>
        </w:rPr>
        <w:t xml:space="preserve"> </w:t>
      </w:r>
      <w:r w:rsidR="00DC604C" w:rsidRPr="00843145">
        <w:rPr>
          <w:rFonts w:eastAsia="Aptos"/>
          <w:color w:val="000000"/>
          <w:szCs w:val="22"/>
          <w:lang w:eastAsia="en-US"/>
        </w:rPr>
        <w:t>accessories</w:t>
      </w:r>
      <w:r w:rsidR="00FF4F8F" w:rsidRPr="00843145">
        <w:rPr>
          <w:rFonts w:eastAsia="Aptos"/>
          <w:color w:val="000000"/>
          <w:szCs w:val="22"/>
          <w:lang w:eastAsia="en-US"/>
        </w:rPr>
        <w:t>, a</w:t>
      </w:r>
      <w:r w:rsidR="000B2EF2" w:rsidRPr="00843145">
        <w:rPr>
          <w:rFonts w:eastAsia="Aptos"/>
          <w:color w:val="000000"/>
          <w:szCs w:val="22"/>
          <w:lang w:eastAsia="en-US"/>
        </w:rPr>
        <w:t>nd outlining its history since 1925 when it was founded</w:t>
      </w:r>
      <w:r w:rsidR="00FF4F8F" w:rsidRPr="00843145">
        <w:rPr>
          <w:rFonts w:eastAsia="Aptos"/>
          <w:color w:val="000000"/>
          <w:szCs w:val="22"/>
          <w:lang w:eastAsia="en-US"/>
        </w:rPr>
        <w:t xml:space="preserve">. This </w:t>
      </w:r>
      <w:r w:rsidR="004C1483" w:rsidRPr="00843145">
        <w:rPr>
          <w:rFonts w:eastAsia="Aptos"/>
          <w:color w:val="000000"/>
          <w:szCs w:val="22"/>
          <w:lang w:eastAsia="en-US"/>
        </w:rPr>
        <w:t xml:space="preserve">exhibit also contains a publication in </w:t>
      </w:r>
      <w:proofErr w:type="spellStart"/>
      <w:r w:rsidR="00DC604C" w:rsidRPr="00843145">
        <w:rPr>
          <w:rFonts w:eastAsia="Aptos"/>
          <w:color w:val="000000"/>
          <w:szCs w:val="22"/>
          <w:lang w:eastAsia="en-US"/>
          <w14:ligatures w14:val="standardContextual"/>
        </w:rPr>
        <w:t>MAMe</w:t>
      </w:r>
      <w:proofErr w:type="spellEnd"/>
      <w:r w:rsidR="00DC604C" w:rsidRPr="00843145">
        <w:rPr>
          <w:rFonts w:eastAsia="Aptos"/>
          <w:color w:val="000000"/>
          <w:szCs w:val="22"/>
          <w:lang w:eastAsia="en-US"/>
          <w14:ligatures w14:val="standardContextual"/>
        </w:rPr>
        <w:t xml:space="preserve"> Fashion Dictionary, dated 28/11/2022</w:t>
      </w:r>
      <w:r w:rsidR="003C00E8" w:rsidRPr="00843145">
        <w:rPr>
          <w:rFonts w:eastAsia="Aptos"/>
          <w:color w:val="000000"/>
          <w:szCs w:val="22"/>
          <w:lang w:eastAsia="en-US"/>
          <w14:ligatures w14:val="standardContextual"/>
        </w:rPr>
        <w:t>, entitled</w:t>
      </w:r>
      <w:r w:rsidR="004C1483" w:rsidRPr="00843145">
        <w:rPr>
          <w:rFonts w:eastAsia="Aptos"/>
          <w:color w:val="000000"/>
          <w:szCs w:val="22"/>
          <w:lang w:eastAsia="en-US"/>
          <w14:ligatures w14:val="standardContextual"/>
        </w:rPr>
        <w:t xml:space="preserve"> </w:t>
      </w:r>
      <w:r w:rsidR="003C00E8" w:rsidRPr="00843145">
        <w:rPr>
          <w:rFonts w:eastAsia="Aptos"/>
          <w:color w:val="000000"/>
          <w:szCs w:val="22"/>
          <w:lang w:eastAsia="en-US"/>
          <w14:ligatures w14:val="standardContextual"/>
        </w:rPr>
        <w:t>‘</w:t>
      </w:r>
      <w:r w:rsidR="003C00E8" w:rsidRPr="00843145">
        <w:rPr>
          <w:rFonts w:eastAsia="Aptos"/>
          <w:color w:val="000000"/>
          <w:szCs w:val="22"/>
          <w:lang w:eastAsia="en-US"/>
        </w:rPr>
        <w:t xml:space="preserve">Fendi’s </w:t>
      </w:r>
      <w:r w:rsidR="00ED6723" w:rsidRPr="00843145">
        <w:rPr>
          <w:rFonts w:eastAsia="Aptos"/>
          <w:color w:val="000000"/>
          <w:szCs w:val="22"/>
          <w:lang w:eastAsia="en-US"/>
        </w:rPr>
        <w:t>history, from furrier’s shop in Rome to the luxury bra</w:t>
      </w:r>
      <w:r w:rsidR="003C00E8" w:rsidRPr="00843145">
        <w:rPr>
          <w:rFonts w:eastAsia="Aptos"/>
          <w:color w:val="000000"/>
          <w:szCs w:val="22"/>
          <w:lang w:eastAsia="en-US"/>
        </w:rPr>
        <w:t>nd’</w:t>
      </w:r>
      <w:r w:rsidR="00F06823" w:rsidRPr="00843145">
        <w:rPr>
          <w:rFonts w:eastAsia="Aptos"/>
          <w:color w:val="000000"/>
          <w:szCs w:val="22"/>
          <w:lang w:eastAsia="en-US"/>
        </w:rPr>
        <w:t xml:space="preserve">, and a publication </w:t>
      </w:r>
      <w:r w:rsidR="005F1A41" w:rsidRPr="00843145">
        <w:rPr>
          <w:rFonts w:eastAsia="Aptos"/>
          <w:color w:val="000000"/>
          <w:szCs w:val="22"/>
          <w:lang w:eastAsia="en-US"/>
        </w:rPr>
        <w:t xml:space="preserve">on </w:t>
      </w:r>
      <w:r w:rsidR="00DC604C" w:rsidRPr="00843145">
        <w:rPr>
          <w:rFonts w:eastAsia="Aptos"/>
          <w:kern w:val="2"/>
          <w:szCs w:val="22"/>
          <w:lang w:eastAsia="en-US"/>
          <w14:ligatures w14:val="standardContextual"/>
        </w:rPr>
        <w:t>https://www.instyle.com, dated 11/12/2023</w:t>
      </w:r>
      <w:r w:rsidR="005F1A41" w:rsidRPr="00843145">
        <w:rPr>
          <w:rFonts w:eastAsia="Aptos"/>
          <w:kern w:val="2"/>
          <w:szCs w:val="22"/>
          <w:lang w:eastAsia="en-US"/>
          <w14:ligatures w14:val="standardContextual"/>
        </w:rPr>
        <w:t>, entitled</w:t>
      </w:r>
      <w:r w:rsidR="00DC604C" w:rsidRPr="00843145">
        <w:rPr>
          <w:rFonts w:eastAsia="Aptos"/>
          <w:kern w:val="2"/>
          <w:szCs w:val="22"/>
          <w:lang w:eastAsia="en-US"/>
          <w14:ligatures w14:val="standardContextual"/>
        </w:rPr>
        <w:t xml:space="preserve"> ‘Who Owns Fendi? Everything to Know About the Iconic </w:t>
      </w:r>
      <w:bookmarkStart w:id="26" w:name="_Hlk212655243"/>
      <w:r w:rsidR="00DC604C" w:rsidRPr="00843145">
        <w:rPr>
          <w:rFonts w:eastAsia="Aptos"/>
          <w:kern w:val="2"/>
          <w:szCs w:val="22"/>
          <w:lang w:eastAsia="en-US"/>
          <w14:ligatures w14:val="standardContextual"/>
        </w:rPr>
        <w:t>Fashion House’</w:t>
      </w:r>
      <w:bookmarkEnd w:id="26"/>
      <w:r w:rsidR="006E5A0E" w:rsidRPr="00843145">
        <w:rPr>
          <w:rFonts w:eastAsia="Aptos"/>
          <w:kern w:val="2"/>
          <w:szCs w:val="22"/>
          <w:lang w:eastAsia="en-US"/>
          <w14:ligatures w14:val="standardContextual"/>
        </w:rPr>
        <w:t>.</w:t>
      </w:r>
    </w:p>
    <w:p w14:paraId="2F0B4533" w14:textId="77777777" w:rsidR="006E5A0E" w:rsidRPr="00843145" w:rsidRDefault="006E5A0E" w:rsidP="00DC604C">
      <w:pPr>
        <w:jc w:val="both"/>
        <w:rPr>
          <w:rFonts w:eastAsia="Aptos"/>
          <w:kern w:val="2"/>
          <w:szCs w:val="22"/>
          <w:lang w:eastAsia="en-US"/>
          <w14:ligatures w14:val="standardContextual"/>
        </w:rPr>
      </w:pPr>
    </w:p>
    <w:p w14:paraId="32BCEE0F" w14:textId="19A8087E" w:rsidR="006E5A0E" w:rsidRPr="00843145" w:rsidRDefault="006E5A0E" w:rsidP="006E5A0E">
      <w:pPr>
        <w:jc w:val="both"/>
        <w:rPr>
          <w:rFonts w:eastAsia="Aptos"/>
          <w:kern w:val="2"/>
          <w:szCs w:val="22"/>
          <w:lang w:eastAsia="en-US"/>
          <w14:ligatures w14:val="standardContextual"/>
        </w:rPr>
      </w:pPr>
      <w:r w:rsidRPr="00843145">
        <w:rPr>
          <w:rFonts w:eastAsia="Aptos"/>
          <w:kern w:val="2"/>
          <w:szCs w:val="22"/>
          <w:lang w:eastAsia="en-US"/>
          <w14:ligatures w14:val="standardContextual"/>
        </w:rPr>
        <w:t>Exhibit 2</w:t>
      </w:r>
      <w:r w:rsidR="0074317E" w:rsidRPr="00843145">
        <w:rPr>
          <w:rFonts w:eastAsia="Aptos"/>
          <w:kern w:val="2"/>
          <w:szCs w:val="22"/>
          <w:lang w:eastAsia="en-US"/>
          <w14:ligatures w14:val="standardContextual"/>
        </w:rPr>
        <w:t>:</w:t>
      </w:r>
      <w:r w:rsidRPr="00843145">
        <w:rPr>
          <w:rFonts w:eastAsia="Aptos"/>
          <w:kern w:val="2"/>
          <w:szCs w:val="22"/>
          <w:lang w:eastAsia="en-US"/>
          <w14:ligatures w14:val="standardContextual"/>
        </w:rPr>
        <w:t xml:space="preserve"> A</w:t>
      </w:r>
      <w:r w:rsidR="0074317E" w:rsidRPr="00843145">
        <w:rPr>
          <w:rFonts w:eastAsia="Aptos"/>
          <w:kern w:val="2"/>
          <w:szCs w:val="22"/>
          <w:lang w:eastAsia="en-US"/>
          <w14:ligatures w14:val="standardContextual"/>
        </w:rPr>
        <w:t xml:space="preserve">n </w:t>
      </w:r>
      <w:r w:rsidR="009C0651" w:rsidRPr="00843145">
        <w:rPr>
          <w:rFonts w:eastAsia="Aptos"/>
          <w:kern w:val="2"/>
          <w:szCs w:val="22"/>
          <w:lang w:eastAsia="en-US"/>
          <w14:ligatures w14:val="standardContextual"/>
        </w:rPr>
        <w:t xml:space="preserve">online </w:t>
      </w:r>
      <w:r w:rsidR="0074317E" w:rsidRPr="00843145">
        <w:rPr>
          <w:rFonts w:eastAsia="Aptos"/>
          <w:kern w:val="2"/>
          <w:szCs w:val="22"/>
          <w:lang w:eastAsia="en-US"/>
          <w14:ligatures w14:val="standardContextual"/>
        </w:rPr>
        <w:t>a</w:t>
      </w:r>
      <w:r w:rsidRPr="00843145">
        <w:rPr>
          <w:rFonts w:eastAsia="Aptos"/>
          <w:kern w:val="2"/>
          <w:szCs w:val="22"/>
          <w:lang w:eastAsia="en-US"/>
          <w14:ligatures w14:val="standardContextual"/>
        </w:rPr>
        <w:t>rticle</w:t>
      </w:r>
      <w:r w:rsidR="0074317E" w:rsidRPr="00843145">
        <w:rPr>
          <w:rFonts w:eastAsia="Aptos"/>
          <w:kern w:val="2"/>
          <w:szCs w:val="22"/>
          <w:lang w:eastAsia="en-US"/>
          <w14:ligatures w14:val="standardContextual"/>
        </w:rPr>
        <w:t>, dated</w:t>
      </w:r>
      <w:r w:rsidRPr="00843145">
        <w:rPr>
          <w:rFonts w:eastAsia="Aptos"/>
          <w:kern w:val="2"/>
          <w:szCs w:val="22"/>
          <w:lang w:eastAsia="en-US"/>
          <w14:ligatures w14:val="standardContextual"/>
        </w:rPr>
        <w:t xml:space="preserve"> 30</w:t>
      </w:r>
      <w:r w:rsidR="00CC2C87" w:rsidRPr="00843145">
        <w:rPr>
          <w:rFonts w:eastAsia="Aptos"/>
          <w:kern w:val="2"/>
          <w:szCs w:val="22"/>
          <w:lang w:eastAsia="en-US"/>
          <w14:ligatures w14:val="standardContextual"/>
        </w:rPr>
        <w:t>/10/</w:t>
      </w:r>
      <w:r w:rsidRPr="00843145">
        <w:rPr>
          <w:rFonts w:eastAsia="Aptos"/>
          <w:kern w:val="2"/>
          <w:szCs w:val="22"/>
          <w:lang w:eastAsia="en-US"/>
          <w14:ligatures w14:val="standardContextual"/>
        </w:rPr>
        <w:t>2017</w:t>
      </w:r>
      <w:r w:rsidR="00567014" w:rsidRPr="00843145">
        <w:rPr>
          <w:rFonts w:eastAsia="Aptos"/>
          <w:kern w:val="2"/>
          <w:szCs w:val="22"/>
          <w:lang w:eastAsia="en-US"/>
          <w14:ligatures w14:val="standardContextual"/>
        </w:rPr>
        <w:t xml:space="preserve"> regarding </w:t>
      </w:r>
      <w:r w:rsidR="0074317E" w:rsidRPr="00843145">
        <w:rPr>
          <w:rFonts w:eastAsia="Aptos"/>
          <w:kern w:val="2"/>
          <w:szCs w:val="22"/>
          <w:lang w:eastAsia="en-US"/>
          <w14:ligatures w14:val="standardContextual"/>
        </w:rPr>
        <w:t xml:space="preserve">an </w:t>
      </w:r>
      <w:r w:rsidR="00350EFD" w:rsidRPr="00843145">
        <w:rPr>
          <w:rFonts w:eastAsia="Aptos"/>
          <w:kern w:val="2"/>
          <w:szCs w:val="22"/>
          <w:lang w:eastAsia="en-US"/>
          <w14:ligatures w14:val="standardContextual"/>
        </w:rPr>
        <w:t>exhibition</w:t>
      </w:r>
      <w:r w:rsidR="00D81C04" w:rsidRPr="00843145">
        <w:rPr>
          <w:rFonts w:eastAsia="Aptos"/>
          <w:kern w:val="2"/>
          <w:szCs w:val="22"/>
          <w:lang w:eastAsia="en-US"/>
          <w14:ligatures w14:val="standardContextual"/>
        </w:rPr>
        <w:t>, entitled</w:t>
      </w:r>
      <w:r w:rsidR="00350EFD" w:rsidRPr="00843145">
        <w:rPr>
          <w:rFonts w:eastAsia="Aptos"/>
          <w:kern w:val="2"/>
          <w:szCs w:val="22"/>
          <w:lang w:eastAsia="en-US"/>
          <w14:ligatures w14:val="standardContextual"/>
        </w:rPr>
        <w:t xml:space="preserve"> </w:t>
      </w:r>
      <w:r w:rsidR="00D81C04" w:rsidRPr="00843145">
        <w:rPr>
          <w:rFonts w:eastAsia="Aptos"/>
          <w:kern w:val="2"/>
          <w:szCs w:val="22"/>
          <w:lang w:eastAsia="en-US"/>
          <w14:ligatures w14:val="standardContextual"/>
        </w:rPr>
        <w:t xml:space="preserve">‘FENDI STUDIOS’ </w:t>
      </w:r>
      <w:r w:rsidR="00350EFD" w:rsidRPr="00843145">
        <w:rPr>
          <w:rFonts w:eastAsia="Aptos"/>
          <w:kern w:val="2"/>
          <w:szCs w:val="22"/>
          <w:lang w:eastAsia="en-US"/>
          <w14:ligatures w14:val="standardContextual"/>
        </w:rPr>
        <w:t>inaugurated during the Rome Film Festiva</w:t>
      </w:r>
      <w:r w:rsidR="0074317E" w:rsidRPr="00843145">
        <w:rPr>
          <w:rFonts w:eastAsia="Aptos"/>
          <w:kern w:val="2"/>
          <w:szCs w:val="22"/>
          <w:lang w:eastAsia="en-US"/>
          <w14:ligatures w14:val="standardContextual"/>
        </w:rPr>
        <w:t>l</w:t>
      </w:r>
      <w:r w:rsidRPr="00843145">
        <w:rPr>
          <w:rFonts w:eastAsia="Aptos"/>
          <w:kern w:val="2"/>
          <w:szCs w:val="22"/>
          <w:lang w:eastAsia="en-US"/>
          <w14:ligatures w14:val="standardContextual"/>
        </w:rPr>
        <w:t>.</w:t>
      </w:r>
    </w:p>
    <w:p w14:paraId="118E8CC1" w14:textId="77777777" w:rsidR="006E5A0E" w:rsidRPr="00843145" w:rsidRDefault="006E5A0E" w:rsidP="006E5A0E">
      <w:pPr>
        <w:jc w:val="both"/>
        <w:rPr>
          <w:rFonts w:eastAsia="Aptos"/>
          <w:kern w:val="2"/>
          <w:szCs w:val="22"/>
          <w:lang w:eastAsia="en-US"/>
          <w14:ligatures w14:val="standardContextual"/>
        </w:rPr>
      </w:pPr>
    </w:p>
    <w:p w14:paraId="195EA40A" w14:textId="283BD5E3" w:rsidR="006E5A0E" w:rsidRPr="00843145" w:rsidRDefault="006E5A0E" w:rsidP="006E5A0E">
      <w:pPr>
        <w:jc w:val="both"/>
        <w:rPr>
          <w:rFonts w:eastAsia="Aptos"/>
          <w:kern w:val="2"/>
          <w:szCs w:val="22"/>
          <w:lang w:eastAsia="en-US"/>
          <w14:ligatures w14:val="standardContextual"/>
        </w:rPr>
      </w:pPr>
      <w:r w:rsidRPr="00843145">
        <w:rPr>
          <w:rFonts w:eastAsia="Aptos"/>
          <w:kern w:val="2"/>
          <w:szCs w:val="22"/>
          <w:lang w:eastAsia="en-US"/>
          <w14:ligatures w14:val="standardContextual"/>
        </w:rPr>
        <w:t>Exhibit 3</w:t>
      </w:r>
      <w:r w:rsidR="00DF2D45" w:rsidRPr="00843145">
        <w:rPr>
          <w:rFonts w:eastAsia="Aptos"/>
          <w:kern w:val="2"/>
          <w:szCs w:val="22"/>
          <w:lang w:eastAsia="en-US"/>
          <w14:ligatures w14:val="standardContextual"/>
        </w:rPr>
        <w:t>:</w:t>
      </w:r>
      <w:r w:rsidRPr="00843145">
        <w:rPr>
          <w:rFonts w:eastAsia="Aptos"/>
          <w:kern w:val="2"/>
          <w:szCs w:val="22"/>
          <w:lang w:eastAsia="en-US"/>
          <w14:ligatures w14:val="standardContextual"/>
        </w:rPr>
        <w:t xml:space="preserve"> </w:t>
      </w:r>
      <w:r w:rsidR="005D782B" w:rsidRPr="00843145">
        <w:rPr>
          <w:rFonts w:eastAsia="Aptos"/>
          <w:kern w:val="2"/>
          <w:szCs w:val="22"/>
          <w:lang w:eastAsia="en-US"/>
          <w14:ligatures w14:val="standardContextual"/>
        </w:rPr>
        <w:t>An u</w:t>
      </w:r>
      <w:r w:rsidRPr="00843145">
        <w:rPr>
          <w:rFonts w:eastAsia="Aptos"/>
          <w:kern w:val="2"/>
          <w:szCs w:val="22"/>
          <w:lang w:eastAsia="en-US"/>
          <w14:ligatures w14:val="standardContextual"/>
        </w:rPr>
        <w:t xml:space="preserve">ndated online publication </w:t>
      </w:r>
      <w:r w:rsidR="00AA1841" w:rsidRPr="00843145">
        <w:rPr>
          <w:rFonts w:eastAsia="Aptos"/>
          <w:kern w:val="2"/>
          <w:szCs w:val="22"/>
          <w:lang w:eastAsia="en-US"/>
          <w14:ligatures w14:val="standardContextual"/>
        </w:rPr>
        <w:t xml:space="preserve">regarding an </w:t>
      </w:r>
      <w:r w:rsidRPr="00843145">
        <w:rPr>
          <w:rFonts w:eastAsia="Aptos"/>
          <w:kern w:val="2"/>
          <w:szCs w:val="22"/>
          <w:lang w:eastAsia="en-US"/>
          <w14:ligatures w14:val="standardContextual"/>
        </w:rPr>
        <w:t>exhibition in Rome in 1985.</w:t>
      </w:r>
    </w:p>
    <w:p w14:paraId="352DA0CE" w14:textId="77777777" w:rsidR="006E5A0E" w:rsidRPr="00843145" w:rsidRDefault="006E5A0E" w:rsidP="006E5A0E">
      <w:pPr>
        <w:jc w:val="both"/>
        <w:rPr>
          <w:rFonts w:eastAsia="Aptos"/>
          <w:kern w:val="2"/>
          <w:szCs w:val="22"/>
          <w:lang w:eastAsia="en-US"/>
          <w14:ligatures w14:val="standardContextual"/>
        </w:rPr>
      </w:pPr>
    </w:p>
    <w:p w14:paraId="0F03D654" w14:textId="3B3F92BE" w:rsidR="006E5A0E" w:rsidRPr="00843145" w:rsidRDefault="00AA1841" w:rsidP="006E5A0E">
      <w:pPr>
        <w:jc w:val="both"/>
        <w:rPr>
          <w:rFonts w:eastAsia="Aptos"/>
          <w:kern w:val="2"/>
          <w:szCs w:val="22"/>
          <w:lang w:eastAsia="en-US"/>
          <w14:ligatures w14:val="standardContextual"/>
        </w:rPr>
      </w:pPr>
      <w:r w:rsidRPr="00843145">
        <w:rPr>
          <w:rFonts w:eastAsia="Aptos"/>
          <w:kern w:val="2"/>
          <w:szCs w:val="22"/>
          <w:lang w:eastAsia="en-US"/>
          <w14:ligatures w14:val="standardContextual"/>
        </w:rPr>
        <w:lastRenderedPageBreak/>
        <w:t xml:space="preserve">Exhibit </w:t>
      </w:r>
      <w:r w:rsidR="006E5A0E" w:rsidRPr="00843145">
        <w:rPr>
          <w:rFonts w:eastAsia="Aptos"/>
          <w:kern w:val="2"/>
          <w:szCs w:val="22"/>
          <w:lang w:eastAsia="en-US"/>
          <w14:ligatures w14:val="standardContextual"/>
        </w:rPr>
        <w:t>4</w:t>
      </w:r>
      <w:r w:rsidR="00530C6A" w:rsidRPr="00843145">
        <w:rPr>
          <w:rFonts w:eastAsia="Aptos"/>
          <w:kern w:val="2"/>
          <w:szCs w:val="22"/>
          <w:lang w:eastAsia="en-US"/>
          <w14:ligatures w14:val="standardContextual"/>
        </w:rPr>
        <w:t>:</w:t>
      </w:r>
      <w:r w:rsidR="006E5A0E" w:rsidRPr="00843145">
        <w:rPr>
          <w:rFonts w:eastAsia="Aptos"/>
          <w:kern w:val="2"/>
          <w:szCs w:val="22"/>
          <w:lang w:eastAsia="en-US"/>
          <w14:ligatures w14:val="standardContextual"/>
        </w:rPr>
        <w:t xml:space="preserve"> </w:t>
      </w:r>
      <w:r w:rsidR="005D782B" w:rsidRPr="00843145">
        <w:rPr>
          <w:rFonts w:eastAsia="Aptos"/>
          <w:kern w:val="2"/>
          <w:szCs w:val="22"/>
          <w:lang w:eastAsia="en-US"/>
          <w14:ligatures w14:val="standardContextual"/>
        </w:rPr>
        <w:t>An u</w:t>
      </w:r>
      <w:r w:rsidR="00F45140" w:rsidRPr="00843145">
        <w:rPr>
          <w:rFonts w:eastAsia="Aptos"/>
          <w:kern w:val="2"/>
          <w:szCs w:val="22"/>
          <w:lang w:eastAsia="en-US"/>
          <w14:ligatures w14:val="standardContextual"/>
        </w:rPr>
        <w:t>ndated publication on www.</w:t>
      </w:r>
      <w:r w:rsidR="006E5A0E" w:rsidRPr="00843145">
        <w:rPr>
          <w:rFonts w:eastAsia="Aptos"/>
          <w:kern w:val="2"/>
          <w:szCs w:val="22"/>
          <w:lang w:eastAsia="en-US"/>
          <w14:ligatures w14:val="standardContextual"/>
        </w:rPr>
        <w:t>lvmh.com</w:t>
      </w:r>
      <w:r w:rsidR="00F45140" w:rsidRPr="00843145">
        <w:rPr>
          <w:rFonts w:eastAsia="Aptos"/>
          <w:kern w:val="2"/>
          <w:szCs w:val="22"/>
          <w:lang w:eastAsia="en-US"/>
          <w14:ligatures w14:val="standardContextual"/>
        </w:rPr>
        <w:t xml:space="preserve"> regarding </w:t>
      </w:r>
      <w:r w:rsidR="006E5A0E" w:rsidRPr="00843145">
        <w:rPr>
          <w:rFonts w:eastAsia="Aptos"/>
          <w:kern w:val="2"/>
          <w:szCs w:val="22"/>
          <w:lang w:eastAsia="en-US"/>
          <w14:ligatures w14:val="standardContextual"/>
        </w:rPr>
        <w:t xml:space="preserve">the acquisition of </w:t>
      </w:r>
      <w:r w:rsidR="00F45140" w:rsidRPr="00843145">
        <w:rPr>
          <w:rFonts w:eastAsia="Aptos"/>
          <w:kern w:val="2"/>
          <w:szCs w:val="22"/>
          <w:lang w:eastAsia="en-US"/>
          <w14:ligatures w14:val="standardContextual"/>
        </w:rPr>
        <w:t>‘</w:t>
      </w:r>
      <w:r w:rsidR="006E5A0E" w:rsidRPr="00843145">
        <w:rPr>
          <w:rFonts w:eastAsia="Aptos"/>
          <w:kern w:val="2"/>
          <w:szCs w:val="22"/>
          <w:lang w:eastAsia="en-US"/>
          <w14:ligatures w14:val="standardContextual"/>
        </w:rPr>
        <w:t>Fendi</w:t>
      </w:r>
      <w:r w:rsidR="00F45140" w:rsidRPr="00843145">
        <w:rPr>
          <w:rFonts w:eastAsia="Aptos"/>
          <w:kern w:val="2"/>
          <w:szCs w:val="22"/>
          <w:lang w:eastAsia="en-US"/>
          <w14:ligatures w14:val="standardContextual"/>
        </w:rPr>
        <w:t>’</w:t>
      </w:r>
      <w:r w:rsidR="006E5A0E" w:rsidRPr="00843145">
        <w:rPr>
          <w:rFonts w:eastAsia="Aptos"/>
          <w:kern w:val="2"/>
          <w:szCs w:val="22"/>
          <w:lang w:eastAsia="en-US"/>
          <w14:ligatures w14:val="standardContextual"/>
        </w:rPr>
        <w:t xml:space="preserve"> by </w:t>
      </w:r>
      <w:r w:rsidR="00F45140" w:rsidRPr="00843145">
        <w:rPr>
          <w:rFonts w:eastAsia="Aptos"/>
          <w:kern w:val="2"/>
          <w:szCs w:val="22"/>
          <w:lang w:eastAsia="en-US"/>
          <w14:ligatures w14:val="standardContextual"/>
        </w:rPr>
        <w:t>‘</w:t>
      </w:r>
      <w:r w:rsidR="006E5A0E" w:rsidRPr="00843145">
        <w:rPr>
          <w:rFonts w:eastAsia="Aptos"/>
          <w:kern w:val="2"/>
          <w:szCs w:val="22"/>
          <w:lang w:eastAsia="en-US"/>
          <w14:ligatures w14:val="standardContextual"/>
        </w:rPr>
        <w:t>LVMH</w:t>
      </w:r>
      <w:r w:rsidR="00F45140" w:rsidRPr="00843145">
        <w:rPr>
          <w:rFonts w:eastAsia="Aptos"/>
          <w:kern w:val="2"/>
          <w:szCs w:val="22"/>
          <w:lang w:eastAsia="en-US"/>
          <w14:ligatures w14:val="standardContextual"/>
        </w:rPr>
        <w:t>’ in 2001.</w:t>
      </w:r>
    </w:p>
    <w:p w14:paraId="153EDE60" w14:textId="77777777" w:rsidR="00AA1841" w:rsidRPr="00843145" w:rsidRDefault="00AA1841" w:rsidP="006E5A0E">
      <w:pPr>
        <w:jc w:val="both"/>
        <w:rPr>
          <w:rFonts w:eastAsia="Aptos"/>
          <w:kern w:val="2"/>
          <w:szCs w:val="22"/>
          <w:lang w:eastAsia="en-US"/>
          <w14:ligatures w14:val="standardContextual"/>
        </w:rPr>
      </w:pPr>
    </w:p>
    <w:p w14:paraId="6B0C81CF" w14:textId="59BFE995" w:rsidR="006E5A0E" w:rsidRPr="00843145" w:rsidRDefault="00AA1841" w:rsidP="006E5A0E">
      <w:pPr>
        <w:jc w:val="both"/>
        <w:rPr>
          <w:rFonts w:eastAsia="Aptos"/>
          <w:kern w:val="2"/>
          <w:szCs w:val="22"/>
          <w:lang w:eastAsia="en-US"/>
          <w14:ligatures w14:val="standardContextual"/>
        </w:rPr>
      </w:pPr>
      <w:r w:rsidRPr="00843145">
        <w:rPr>
          <w:rFonts w:eastAsia="Aptos"/>
          <w:kern w:val="2"/>
          <w:szCs w:val="22"/>
          <w:lang w:eastAsia="en-US"/>
          <w14:ligatures w14:val="standardContextual"/>
        </w:rPr>
        <w:t xml:space="preserve">Exhibit </w:t>
      </w:r>
      <w:r w:rsidR="006E5A0E" w:rsidRPr="00843145">
        <w:rPr>
          <w:rFonts w:eastAsia="Aptos"/>
          <w:kern w:val="2"/>
          <w:szCs w:val="22"/>
          <w:lang w:eastAsia="en-US"/>
          <w14:ligatures w14:val="standardContextual"/>
        </w:rPr>
        <w:t>5</w:t>
      </w:r>
      <w:r w:rsidR="00400227" w:rsidRPr="00843145">
        <w:rPr>
          <w:rFonts w:eastAsia="Aptos"/>
          <w:kern w:val="2"/>
          <w:szCs w:val="22"/>
          <w:lang w:eastAsia="en-US"/>
          <w14:ligatures w14:val="standardContextual"/>
        </w:rPr>
        <w:t>:</w:t>
      </w:r>
      <w:r w:rsidR="006E5A0E" w:rsidRPr="00843145">
        <w:rPr>
          <w:rFonts w:eastAsia="Aptos"/>
          <w:kern w:val="2"/>
          <w:szCs w:val="22"/>
          <w:lang w:eastAsia="en-US"/>
          <w14:ligatures w14:val="standardContextual"/>
        </w:rPr>
        <w:t xml:space="preserve"> </w:t>
      </w:r>
      <w:proofErr w:type="gramStart"/>
      <w:r w:rsidR="006E5A0E" w:rsidRPr="00843145">
        <w:rPr>
          <w:rFonts w:eastAsia="Aptos"/>
          <w:kern w:val="2"/>
          <w:szCs w:val="22"/>
          <w:lang w:eastAsia="en-US"/>
          <w14:ligatures w14:val="standardContextual"/>
        </w:rPr>
        <w:t>Articles</w:t>
      </w:r>
      <w:r w:rsidR="00C66D3E" w:rsidRPr="00843145">
        <w:rPr>
          <w:rFonts w:eastAsia="Aptos"/>
          <w:kern w:val="2"/>
          <w:szCs w:val="22"/>
          <w:lang w:eastAsia="en-US"/>
          <w14:ligatures w14:val="standardContextual"/>
        </w:rPr>
        <w:t>,</w:t>
      </w:r>
      <w:proofErr w:type="gramEnd"/>
      <w:r w:rsidR="00C66D3E" w:rsidRPr="00843145">
        <w:rPr>
          <w:rFonts w:eastAsia="Aptos"/>
          <w:kern w:val="2"/>
          <w:szCs w:val="22"/>
          <w:lang w:eastAsia="en-US"/>
          <w14:ligatures w14:val="standardContextual"/>
        </w:rPr>
        <w:t xml:space="preserve"> dated</w:t>
      </w:r>
      <w:r w:rsidR="006E5A0E" w:rsidRPr="00843145">
        <w:rPr>
          <w:rFonts w:eastAsia="Aptos"/>
          <w:kern w:val="2"/>
          <w:szCs w:val="22"/>
          <w:lang w:eastAsia="en-US"/>
          <w14:ligatures w14:val="standardContextual"/>
        </w:rPr>
        <w:t xml:space="preserve"> </w:t>
      </w:r>
      <w:r w:rsidR="00C66D3E" w:rsidRPr="00843145">
        <w:rPr>
          <w:rFonts w:eastAsia="Aptos"/>
          <w:kern w:val="2"/>
          <w:szCs w:val="22"/>
          <w:lang w:eastAsia="en-US"/>
          <w14:ligatures w14:val="standardContextual"/>
        </w:rPr>
        <w:t>18/07/2013 and 27/10/2015 regarding</w:t>
      </w:r>
      <w:r w:rsidR="006E5A0E" w:rsidRPr="00843145">
        <w:rPr>
          <w:rFonts w:eastAsia="Aptos"/>
          <w:kern w:val="2"/>
          <w:szCs w:val="22"/>
          <w:lang w:eastAsia="en-US"/>
          <w14:ligatures w14:val="standardContextual"/>
        </w:rPr>
        <w:t xml:space="preserve"> the moving of Fendi headquarters</w:t>
      </w:r>
      <w:r w:rsidR="00C919C9" w:rsidRPr="00843145">
        <w:rPr>
          <w:rFonts w:eastAsia="Aptos"/>
          <w:kern w:val="2"/>
          <w:szCs w:val="22"/>
          <w:lang w:eastAsia="en-US"/>
          <w14:ligatures w14:val="standardContextual"/>
        </w:rPr>
        <w:t xml:space="preserve"> to Rome</w:t>
      </w:r>
      <w:r w:rsidR="006E5A0E" w:rsidRPr="00843145">
        <w:rPr>
          <w:rFonts w:eastAsia="Aptos"/>
          <w:kern w:val="2"/>
          <w:szCs w:val="22"/>
          <w:lang w:eastAsia="en-US"/>
          <w14:ligatures w14:val="standardContextual"/>
        </w:rPr>
        <w:t>.</w:t>
      </w:r>
    </w:p>
    <w:p w14:paraId="40EBEE34" w14:textId="77777777" w:rsidR="00BF468D" w:rsidRPr="00843145" w:rsidRDefault="00BF468D" w:rsidP="00BF468D">
      <w:pPr>
        <w:jc w:val="both"/>
        <w:rPr>
          <w:rFonts w:eastAsia="Aptos"/>
          <w:kern w:val="2"/>
          <w:szCs w:val="22"/>
          <w:lang w:eastAsia="en-US"/>
          <w14:ligatures w14:val="standardContextual"/>
        </w:rPr>
      </w:pPr>
    </w:p>
    <w:p w14:paraId="01215B1F" w14:textId="5A641378" w:rsidR="009C0651" w:rsidRPr="00843145" w:rsidRDefault="009C0651" w:rsidP="009C0651">
      <w:pPr>
        <w:jc w:val="both"/>
        <w:rPr>
          <w:rFonts w:eastAsia="Aptos"/>
          <w:kern w:val="2"/>
          <w:szCs w:val="22"/>
          <w:lang w:eastAsia="en-US"/>
          <w14:ligatures w14:val="standardContextual"/>
        </w:rPr>
      </w:pPr>
      <w:r w:rsidRPr="00843145">
        <w:rPr>
          <w:rFonts w:eastAsia="Aptos"/>
          <w:kern w:val="2"/>
          <w:szCs w:val="22"/>
          <w:lang w:eastAsia="en-US"/>
          <w14:ligatures w14:val="standardContextual"/>
        </w:rPr>
        <w:t xml:space="preserve">Exhibit </w:t>
      </w:r>
      <w:r w:rsidR="00C919C9" w:rsidRPr="00843145">
        <w:rPr>
          <w:rFonts w:eastAsia="Aptos"/>
          <w:kern w:val="2"/>
          <w:szCs w:val="22"/>
          <w:lang w:eastAsia="en-US"/>
          <w14:ligatures w14:val="standardContextual"/>
        </w:rPr>
        <w:t>6</w:t>
      </w:r>
      <w:r w:rsidRPr="00843145">
        <w:rPr>
          <w:rFonts w:eastAsia="Aptos"/>
          <w:kern w:val="2"/>
          <w:szCs w:val="22"/>
          <w:lang w:eastAsia="en-US"/>
          <w14:ligatures w14:val="standardContextual"/>
        </w:rPr>
        <w:t>:</w:t>
      </w:r>
      <w:r w:rsidR="00C919C9" w:rsidRPr="00843145">
        <w:rPr>
          <w:rFonts w:eastAsia="Aptos"/>
          <w:kern w:val="2"/>
          <w:szCs w:val="22"/>
          <w:lang w:eastAsia="en-US"/>
          <w14:ligatures w14:val="standardContextual"/>
        </w:rPr>
        <w:t xml:space="preserve"> </w:t>
      </w:r>
      <w:proofErr w:type="gramStart"/>
      <w:r w:rsidR="00C919C9" w:rsidRPr="00843145">
        <w:rPr>
          <w:rFonts w:eastAsia="Aptos"/>
          <w:kern w:val="2"/>
          <w:szCs w:val="22"/>
          <w:lang w:eastAsia="en-US"/>
          <w14:ligatures w14:val="standardContextual"/>
        </w:rPr>
        <w:t>A</w:t>
      </w:r>
      <w:r w:rsidR="005D782B" w:rsidRPr="00843145">
        <w:rPr>
          <w:rFonts w:eastAsia="Aptos"/>
          <w:kern w:val="2"/>
          <w:szCs w:val="22"/>
          <w:lang w:eastAsia="en-US"/>
          <w14:ligatures w14:val="standardContextual"/>
        </w:rPr>
        <w:t xml:space="preserve">n </w:t>
      </w:r>
      <w:r w:rsidR="009D3B2E" w:rsidRPr="00843145">
        <w:rPr>
          <w:rFonts w:eastAsia="Aptos"/>
          <w:kern w:val="2"/>
          <w:szCs w:val="22"/>
          <w:lang w:eastAsia="en-US"/>
          <w14:ligatures w14:val="standardContextual"/>
        </w:rPr>
        <w:t>a</w:t>
      </w:r>
      <w:r w:rsidR="00C919C9" w:rsidRPr="00843145">
        <w:rPr>
          <w:rFonts w:eastAsia="Aptos"/>
          <w:kern w:val="2"/>
          <w:szCs w:val="22"/>
          <w:lang w:eastAsia="en-US"/>
          <w14:ligatures w14:val="standardContextual"/>
        </w:rPr>
        <w:t>rticle</w:t>
      </w:r>
      <w:r w:rsidRPr="00843145">
        <w:rPr>
          <w:rFonts w:eastAsia="Aptos"/>
          <w:kern w:val="2"/>
          <w:szCs w:val="22"/>
          <w:lang w:eastAsia="en-US"/>
          <w14:ligatures w14:val="standardContextual"/>
        </w:rPr>
        <w:t>,</w:t>
      </w:r>
      <w:proofErr w:type="gramEnd"/>
      <w:r w:rsidRPr="00843145">
        <w:rPr>
          <w:rFonts w:eastAsia="Aptos"/>
          <w:kern w:val="2"/>
          <w:szCs w:val="22"/>
          <w:lang w:eastAsia="en-US"/>
          <w14:ligatures w14:val="standardContextual"/>
        </w:rPr>
        <w:t xml:space="preserve"> dated</w:t>
      </w:r>
      <w:r w:rsidR="00C919C9" w:rsidRPr="00843145">
        <w:rPr>
          <w:rFonts w:eastAsia="Aptos"/>
          <w:kern w:val="2"/>
          <w:szCs w:val="22"/>
          <w:lang w:eastAsia="en-US"/>
          <w14:ligatures w14:val="standardContextual"/>
        </w:rPr>
        <w:t xml:space="preserve"> </w:t>
      </w:r>
      <w:r w:rsidRPr="00843145">
        <w:rPr>
          <w:rFonts w:eastAsia="Aptos"/>
          <w:kern w:val="2"/>
          <w:szCs w:val="22"/>
          <w:lang w:eastAsia="en-US"/>
          <w14:ligatures w14:val="standardContextual"/>
        </w:rPr>
        <w:t xml:space="preserve">07/07/2016 </w:t>
      </w:r>
      <w:r w:rsidR="00C919C9" w:rsidRPr="00843145">
        <w:rPr>
          <w:rFonts w:eastAsia="Aptos"/>
          <w:kern w:val="2"/>
          <w:szCs w:val="22"/>
          <w:lang w:eastAsia="en-US"/>
          <w14:ligatures w14:val="standardContextual"/>
        </w:rPr>
        <w:t>on Fendi’s 90</w:t>
      </w:r>
      <w:r w:rsidR="00C919C9" w:rsidRPr="00843145">
        <w:rPr>
          <w:rFonts w:eastAsia="Aptos"/>
          <w:kern w:val="2"/>
          <w:szCs w:val="22"/>
          <w:vertAlign w:val="superscript"/>
          <w:lang w:eastAsia="en-US"/>
          <w14:ligatures w14:val="standardContextual"/>
        </w:rPr>
        <w:t>th</w:t>
      </w:r>
      <w:r w:rsidRPr="00843145">
        <w:rPr>
          <w:rFonts w:eastAsia="Aptos"/>
          <w:kern w:val="2"/>
          <w:szCs w:val="22"/>
          <w:lang w:eastAsia="en-US"/>
          <w14:ligatures w14:val="standardContextual"/>
        </w:rPr>
        <w:t xml:space="preserve"> </w:t>
      </w:r>
      <w:r w:rsidR="00C919C9" w:rsidRPr="00843145">
        <w:rPr>
          <w:rFonts w:eastAsia="Aptos"/>
          <w:kern w:val="2"/>
          <w:szCs w:val="22"/>
          <w:lang w:eastAsia="en-US"/>
          <w14:ligatures w14:val="standardContextual"/>
        </w:rPr>
        <w:t>anniversary show in Rome.</w:t>
      </w:r>
    </w:p>
    <w:p w14:paraId="353808F8" w14:textId="091A8E5E" w:rsidR="00C919C9" w:rsidRPr="00843145" w:rsidRDefault="00C919C9" w:rsidP="00C919C9">
      <w:pPr>
        <w:jc w:val="both"/>
        <w:rPr>
          <w:rFonts w:eastAsia="Aptos"/>
          <w:kern w:val="2"/>
          <w:szCs w:val="22"/>
          <w:lang w:eastAsia="en-US"/>
          <w14:ligatures w14:val="standardContextual"/>
        </w:rPr>
      </w:pPr>
    </w:p>
    <w:p w14:paraId="5B2AAE22" w14:textId="33E23DA4" w:rsidR="00C919C9" w:rsidRPr="00843145" w:rsidRDefault="009C0651" w:rsidP="00BF468D">
      <w:pPr>
        <w:jc w:val="both"/>
        <w:rPr>
          <w:rFonts w:eastAsia="Aptos"/>
          <w:kern w:val="2"/>
          <w:szCs w:val="22"/>
          <w:lang w:eastAsia="en-US"/>
          <w14:ligatures w14:val="standardContextual"/>
        </w:rPr>
      </w:pPr>
      <w:r w:rsidRPr="00843145">
        <w:rPr>
          <w:rFonts w:eastAsia="Aptos"/>
          <w:kern w:val="2"/>
          <w:szCs w:val="22"/>
          <w:lang w:eastAsia="en-US"/>
          <w14:ligatures w14:val="standardContextual"/>
        </w:rPr>
        <w:t xml:space="preserve">Exhibit </w:t>
      </w:r>
      <w:r w:rsidR="00C919C9" w:rsidRPr="00843145">
        <w:rPr>
          <w:rFonts w:eastAsia="Aptos"/>
          <w:kern w:val="2"/>
          <w:szCs w:val="22"/>
          <w:lang w:eastAsia="en-US"/>
          <w14:ligatures w14:val="standardContextual"/>
        </w:rPr>
        <w:t>7</w:t>
      </w:r>
      <w:r w:rsidRPr="00843145">
        <w:rPr>
          <w:rFonts w:eastAsia="Aptos"/>
          <w:kern w:val="2"/>
          <w:szCs w:val="22"/>
          <w:lang w:eastAsia="en-US"/>
          <w14:ligatures w14:val="standardContextual"/>
        </w:rPr>
        <w:t>:</w:t>
      </w:r>
      <w:r w:rsidR="00C919C9" w:rsidRPr="00843145">
        <w:rPr>
          <w:rFonts w:eastAsia="Aptos"/>
          <w:kern w:val="2"/>
          <w:szCs w:val="22"/>
          <w:lang w:eastAsia="en-US"/>
          <w14:ligatures w14:val="standardContextual"/>
        </w:rPr>
        <w:t xml:space="preserve"> </w:t>
      </w:r>
      <w:proofErr w:type="gramStart"/>
      <w:r w:rsidR="00C919C9" w:rsidRPr="00843145">
        <w:rPr>
          <w:rFonts w:eastAsia="Aptos"/>
          <w:kern w:val="2"/>
          <w:szCs w:val="22"/>
          <w:lang w:eastAsia="en-US"/>
          <w14:ligatures w14:val="standardContextual"/>
        </w:rPr>
        <w:t>A</w:t>
      </w:r>
      <w:r w:rsidR="004D036B" w:rsidRPr="00843145">
        <w:rPr>
          <w:rFonts w:eastAsia="Aptos"/>
          <w:kern w:val="2"/>
          <w:szCs w:val="22"/>
          <w:lang w:eastAsia="en-US"/>
          <w14:ligatures w14:val="standardContextual"/>
        </w:rPr>
        <w:t>n a</w:t>
      </w:r>
      <w:r w:rsidR="00C919C9" w:rsidRPr="00843145">
        <w:rPr>
          <w:rFonts w:eastAsia="Aptos"/>
          <w:kern w:val="2"/>
          <w:szCs w:val="22"/>
          <w:lang w:eastAsia="en-US"/>
          <w14:ligatures w14:val="standardContextual"/>
        </w:rPr>
        <w:t>rticle</w:t>
      </w:r>
      <w:r w:rsidRPr="00843145">
        <w:rPr>
          <w:rFonts w:eastAsia="Aptos"/>
          <w:kern w:val="2"/>
          <w:szCs w:val="22"/>
          <w:lang w:eastAsia="en-US"/>
          <w14:ligatures w14:val="standardContextual"/>
        </w:rPr>
        <w:t>,</w:t>
      </w:r>
      <w:proofErr w:type="gramEnd"/>
      <w:r w:rsidRPr="00843145">
        <w:rPr>
          <w:rFonts w:eastAsia="Aptos"/>
          <w:kern w:val="2"/>
          <w:szCs w:val="22"/>
          <w:lang w:eastAsia="en-US"/>
          <w14:ligatures w14:val="standardContextual"/>
        </w:rPr>
        <w:t xml:space="preserve"> dated</w:t>
      </w:r>
      <w:r w:rsidR="00C919C9" w:rsidRPr="00843145">
        <w:rPr>
          <w:rFonts w:eastAsia="Aptos"/>
          <w:kern w:val="2"/>
          <w:szCs w:val="22"/>
          <w:lang w:eastAsia="en-US"/>
          <w14:ligatures w14:val="standardContextual"/>
        </w:rPr>
        <w:t xml:space="preserve"> </w:t>
      </w:r>
      <w:r w:rsidRPr="00843145">
        <w:rPr>
          <w:rFonts w:eastAsia="Aptos"/>
          <w:kern w:val="2"/>
          <w:szCs w:val="22"/>
          <w:lang w:eastAsia="en-US"/>
          <w14:ligatures w14:val="standardContextual"/>
        </w:rPr>
        <w:t xml:space="preserve">15/12/2022 </w:t>
      </w:r>
      <w:r w:rsidR="00C919C9" w:rsidRPr="00843145">
        <w:rPr>
          <w:rFonts w:eastAsia="Aptos"/>
          <w:kern w:val="2"/>
          <w:szCs w:val="22"/>
          <w:lang w:eastAsia="en-US"/>
          <w14:ligatures w14:val="standardContextual"/>
        </w:rPr>
        <w:t xml:space="preserve">showing actress Sarah Jessica Parker holding </w:t>
      </w:r>
      <w:r w:rsidR="00774DA6" w:rsidRPr="00843145">
        <w:rPr>
          <w:rFonts w:eastAsia="Aptos"/>
          <w:kern w:val="2"/>
          <w:szCs w:val="22"/>
          <w:lang w:eastAsia="en-US"/>
          <w14:ligatures w14:val="standardContextual"/>
        </w:rPr>
        <w:t>a</w:t>
      </w:r>
      <w:r w:rsidR="00C919C9" w:rsidRPr="00843145">
        <w:rPr>
          <w:rFonts w:eastAsia="Aptos"/>
          <w:kern w:val="2"/>
          <w:szCs w:val="22"/>
          <w:lang w:eastAsia="en-US"/>
          <w14:ligatures w14:val="standardContextual"/>
        </w:rPr>
        <w:t xml:space="preserve"> Fendi’s bag, as well as an article</w:t>
      </w:r>
      <w:r w:rsidR="00774DA6" w:rsidRPr="00843145">
        <w:rPr>
          <w:rFonts w:eastAsia="Aptos"/>
          <w:kern w:val="2"/>
          <w:szCs w:val="22"/>
          <w:lang w:eastAsia="en-US"/>
          <w14:ligatures w14:val="standardContextual"/>
        </w:rPr>
        <w:t>, dated 22/09/2021</w:t>
      </w:r>
      <w:r w:rsidR="00C919C9" w:rsidRPr="00843145">
        <w:rPr>
          <w:rFonts w:eastAsia="Aptos"/>
          <w:kern w:val="2"/>
          <w:szCs w:val="22"/>
          <w:lang w:eastAsia="en-US"/>
          <w14:ligatures w14:val="standardContextual"/>
        </w:rPr>
        <w:t xml:space="preserve"> on the history of Fendi bags.</w:t>
      </w:r>
    </w:p>
    <w:p w14:paraId="60A1BD81" w14:textId="77777777" w:rsidR="00BF468D" w:rsidRPr="00843145" w:rsidRDefault="00BF468D" w:rsidP="00BF468D">
      <w:pPr>
        <w:jc w:val="both"/>
        <w:rPr>
          <w:rFonts w:eastAsia="Aptos"/>
          <w:kern w:val="2"/>
          <w:szCs w:val="22"/>
          <w:lang w:eastAsia="en-US"/>
          <w14:ligatures w14:val="standardContextual"/>
        </w:rPr>
      </w:pPr>
    </w:p>
    <w:p w14:paraId="10521FDB" w14:textId="77777777" w:rsidR="00086708" w:rsidRPr="00843145" w:rsidRDefault="00086708" w:rsidP="00086708">
      <w:pPr>
        <w:jc w:val="both"/>
        <w:rPr>
          <w:rFonts w:eastAsia="Aptos"/>
          <w:kern w:val="2"/>
          <w:szCs w:val="22"/>
          <w:lang w:eastAsia="en-US"/>
          <w14:ligatures w14:val="standardContextual"/>
        </w:rPr>
      </w:pPr>
      <w:r w:rsidRPr="00843145">
        <w:rPr>
          <w:rFonts w:eastAsia="Aptos"/>
          <w:kern w:val="2"/>
          <w:szCs w:val="22"/>
          <w:lang w:eastAsia="en-US"/>
          <w14:ligatures w14:val="standardContextual"/>
        </w:rPr>
        <w:t xml:space="preserve">Exhibit 8: List of the FENDI </w:t>
      </w:r>
      <w:proofErr w:type="gramStart"/>
      <w:r w:rsidRPr="00843145">
        <w:rPr>
          <w:rFonts w:eastAsia="Aptos"/>
          <w:kern w:val="2"/>
          <w:szCs w:val="22"/>
          <w:lang w:eastAsia="en-US"/>
          <w14:ligatures w14:val="standardContextual"/>
        </w:rPr>
        <w:t>trade mark</w:t>
      </w:r>
      <w:proofErr w:type="gramEnd"/>
      <w:r w:rsidRPr="00843145">
        <w:rPr>
          <w:rFonts w:eastAsia="Aptos"/>
          <w:kern w:val="2"/>
          <w:szCs w:val="22"/>
          <w:lang w:eastAsia="en-US"/>
          <w14:ligatures w14:val="standardContextual"/>
        </w:rPr>
        <w:t xml:space="preserve"> registrations worldwide.</w:t>
      </w:r>
    </w:p>
    <w:p w14:paraId="399CDBE4" w14:textId="77777777" w:rsidR="00086708" w:rsidRPr="00843145" w:rsidRDefault="00086708" w:rsidP="00086708">
      <w:pPr>
        <w:jc w:val="both"/>
        <w:rPr>
          <w:rFonts w:eastAsia="Aptos"/>
          <w:kern w:val="2"/>
          <w:szCs w:val="22"/>
          <w:lang w:eastAsia="en-US"/>
          <w14:ligatures w14:val="standardContextual"/>
        </w:rPr>
      </w:pPr>
    </w:p>
    <w:p w14:paraId="51AC90AB" w14:textId="77777777" w:rsidR="00086708" w:rsidRPr="00843145" w:rsidRDefault="00086708" w:rsidP="00086708">
      <w:pPr>
        <w:jc w:val="both"/>
        <w:rPr>
          <w:rFonts w:eastAsia="Aptos"/>
          <w:kern w:val="2"/>
          <w:szCs w:val="22"/>
          <w:lang w:eastAsia="en-US"/>
          <w14:ligatures w14:val="standardContextual"/>
        </w:rPr>
      </w:pPr>
      <w:bookmarkStart w:id="27" w:name="_Hlk212652020"/>
      <w:r w:rsidRPr="00843145">
        <w:rPr>
          <w:rFonts w:eastAsia="Aptos"/>
          <w:kern w:val="2"/>
          <w:szCs w:val="22"/>
          <w:lang w:eastAsia="en-US"/>
          <w14:ligatures w14:val="standardContextual"/>
        </w:rPr>
        <w:t xml:space="preserve">Exhibit </w:t>
      </w:r>
      <w:bookmarkEnd w:id="27"/>
      <w:r w:rsidRPr="00843145">
        <w:rPr>
          <w:rFonts w:eastAsia="Aptos"/>
          <w:kern w:val="2"/>
          <w:szCs w:val="22"/>
          <w:lang w:eastAsia="en-US"/>
          <w14:ligatures w14:val="standardContextual"/>
        </w:rPr>
        <w:t xml:space="preserve">9: </w:t>
      </w:r>
      <w:proofErr w:type="spellStart"/>
      <w:r w:rsidRPr="00843145">
        <w:rPr>
          <w:rFonts w:eastAsia="Aptos"/>
          <w:kern w:val="2"/>
          <w:szCs w:val="22"/>
          <w:lang w:eastAsia="en-US"/>
          <w14:ligatures w14:val="standardContextual"/>
        </w:rPr>
        <w:t>Whois</w:t>
      </w:r>
      <w:proofErr w:type="spellEnd"/>
      <w:r w:rsidRPr="00843145">
        <w:rPr>
          <w:rFonts w:eastAsia="Aptos"/>
          <w:kern w:val="2"/>
          <w:szCs w:val="22"/>
          <w:lang w:eastAsia="en-US"/>
          <w14:ligatures w14:val="standardContextual"/>
        </w:rPr>
        <w:t xml:space="preserve"> record on the domain name FENDI.COM, registered since 1995.</w:t>
      </w:r>
    </w:p>
    <w:p w14:paraId="6436DDF7" w14:textId="77777777" w:rsidR="00086708" w:rsidRPr="00843145" w:rsidRDefault="00086708" w:rsidP="00086708">
      <w:pPr>
        <w:jc w:val="both"/>
        <w:rPr>
          <w:rFonts w:eastAsia="Aptos"/>
          <w:kern w:val="2"/>
          <w:szCs w:val="22"/>
          <w:lang w:eastAsia="en-US"/>
          <w14:ligatures w14:val="standardContextual"/>
        </w:rPr>
      </w:pPr>
    </w:p>
    <w:p w14:paraId="1E4D804A" w14:textId="6D7F0159" w:rsidR="004C1CE2" w:rsidRPr="00843145" w:rsidRDefault="00086708" w:rsidP="00086708">
      <w:pPr>
        <w:jc w:val="both"/>
        <w:rPr>
          <w:rFonts w:eastAsia="Aptos"/>
          <w:kern w:val="2"/>
          <w:szCs w:val="22"/>
          <w:lang w:eastAsia="en-US"/>
          <w14:ligatures w14:val="standardContextual"/>
        </w:rPr>
      </w:pPr>
      <w:bookmarkStart w:id="28" w:name="_Hlk212654615"/>
      <w:r w:rsidRPr="00843145">
        <w:rPr>
          <w:rFonts w:eastAsia="Aptos"/>
          <w:kern w:val="2"/>
          <w:szCs w:val="22"/>
          <w:lang w:eastAsia="en-US"/>
          <w14:ligatures w14:val="standardContextual"/>
        </w:rPr>
        <w:t xml:space="preserve">Exhibit 10: </w:t>
      </w:r>
      <w:r w:rsidR="00392B8C" w:rsidRPr="00843145">
        <w:rPr>
          <w:rFonts w:eastAsia="Aptos"/>
          <w:kern w:val="2"/>
          <w:szCs w:val="22"/>
          <w:lang w:eastAsia="en-US"/>
          <w14:ligatures w14:val="standardContextual"/>
        </w:rPr>
        <w:t>Four</w:t>
      </w:r>
      <w:r w:rsidR="00A20205" w:rsidRPr="00843145">
        <w:rPr>
          <w:rFonts w:eastAsia="Aptos"/>
          <w:kern w:val="2"/>
          <w:szCs w:val="22"/>
          <w:lang w:eastAsia="en-US"/>
          <w14:ligatures w14:val="standardContextual"/>
        </w:rPr>
        <w:t xml:space="preserve"> extracts of KANTAR BRANDZ ranking on the Most Valuable Italian Brands </w:t>
      </w:r>
      <w:r w:rsidR="00392B8C" w:rsidRPr="00843145">
        <w:rPr>
          <w:rFonts w:eastAsia="Aptos"/>
          <w:kern w:val="2"/>
          <w:szCs w:val="22"/>
          <w:lang w:eastAsia="en-US"/>
          <w14:ligatures w14:val="standardContextual"/>
        </w:rPr>
        <w:t xml:space="preserve">for </w:t>
      </w:r>
      <w:r w:rsidR="00A20205" w:rsidRPr="00843145">
        <w:rPr>
          <w:rFonts w:eastAsia="Aptos"/>
          <w:kern w:val="2"/>
          <w:szCs w:val="22"/>
          <w:lang w:eastAsia="en-US"/>
          <w14:ligatures w14:val="standardContextual"/>
        </w:rPr>
        <w:t xml:space="preserve">2021, 2022, 2023 and 2024, where </w:t>
      </w:r>
      <w:r w:rsidR="00392B8C" w:rsidRPr="00843145">
        <w:rPr>
          <w:rFonts w:eastAsia="Aptos"/>
          <w:kern w:val="2"/>
          <w:szCs w:val="22"/>
          <w:lang w:eastAsia="en-US"/>
          <w14:ligatures w14:val="standardContextual"/>
        </w:rPr>
        <w:t>‘</w:t>
      </w:r>
      <w:r w:rsidR="00A20205" w:rsidRPr="00843145">
        <w:rPr>
          <w:rFonts w:eastAsia="Aptos"/>
          <w:kern w:val="2"/>
          <w:szCs w:val="22"/>
          <w:lang w:eastAsia="en-US"/>
          <w14:ligatures w14:val="standardContextual"/>
        </w:rPr>
        <w:t>FENDI</w:t>
      </w:r>
      <w:r w:rsidR="00392B8C" w:rsidRPr="00843145">
        <w:rPr>
          <w:rFonts w:eastAsia="Aptos"/>
          <w:kern w:val="2"/>
          <w:szCs w:val="22"/>
          <w:lang w:eastAsia="en-US"/>
          <w14:ligatures w14:val="standardContextual"/>
        </w:rPr>
        <w:t>’</w:t>
      </w:r>
      <w:r w:rsidR="00A20205" w:rsidRPr="00843145">
        <w:rPr>
          <w:rFonts w:eastAsia="Aptos"/>
          <w:kern w:val="2"/>
          <w:szCs w:val="22"/>
          <w:lang w:eastAsia="en-US"/>
          <w14:ligatures w14:val="standardContextual"/>
        </w:rPr>
        <w:t xml:space="preserve"> </w:t>
      </w:r>
      <w:r w:rsidR="00392B8C" w:rsidRPr="00843145">
        <w:rPr>
          <w:rFonts w:eastAsia="Aptos"/>
          <w:kern w:val="2"/>
          <w:szCs w:val="22"/>
          <w:lang w:eastAsia="en-US"/>
          <w14:ligatures w14:val="standardContextual"/>
        </w:rPr>
        <w:t>wa</w:t>
      </w:r>
      <w:r w:rsidR="00A20205" w:rsidRPr="00843145">
        <w:rPr>
          <w:rFonts w:eastAsia="Aptos"/>
          <w:kern w:val="2"/>
          <w:szCs w:val="22"/>
          <w:lang w:eastAsia="en-US"/>
          <w14:ligatures w14:val="standardContextual"/>
        </w:rPr>
        <w:t>s ranked 7</w:t>
      </w:r>
      <w:r w:rsidR="00A20205" w:rsidRPr="00843145">
        <w:rPr>
          <w:rFonts w:eastAsia="Aptos"/>
          <w:kern w:val="2"/>
          <w:szCs w:val="22"/>
          <w:vertAlign w:val="superscript"/>
          <w:lang w:eastAsia="en-US"/>
          <w14:ligatures w14:val="standardContextual"/>
        </w:rPr>
        <w:t>th</w:t>
      </w:r>
      <w:r w:rsidR="00392B8C" w:rsidRPr="00843145">
        <w:rPr>
          <w:rFonts w:eastAsia="Aptos"/>
          <w:kern w:val="2"/>
          <w:szCs w:val="22"/>
          <w:lang w:eastAsia="en-US"/>
          <w14:ligatures w14:val="standardContextual"/>
        </w:rPr>
        <w:t xml:space="preserve"> </w:t>
      </w:r>
      <w:r w:rsidR="00A20205" w:rsidRPr="00843145">
        <w:rPr>
          <w:rFonts w:eastAsia="Aptos"/>
          <w:kern w:val="2"/>
          <w:szCs w:val="22"/>
          <w:lang w:eastAsia="en-US"/>
          <w14:ligatures w14:val="standardContextual"/>
        </w:rPr>
        <w:t>or 8</w:t>
      </w:r>
      <w:r w:rsidR="00A20205" w:rsidRPr="00843145">
        <w:rPr>
          <w:rFonts w:eastAsia="Aptos"/>
          <w:kern w:val="2"/>
          <w:szCs w:val="22"/>
          <w:vertAlign w:val="superscript"/>
          <w:lang w:eastAsia="en-US"/>
          <w14:ligatures w14:val="standardContextual"/>
        </w:rPr>
        <w:t>th</w:t>
      </w:r>
      <w:r w:rsidR="00392B8C" w:rsidRPr="00843145">
        <w:rPr>
          <w:rFonts w:eastAsia="Aptos"/>
          <w:kern w:val="2"/>
          <w:szCs w:val="22"/>
          <w:lang w:eastAsia="en-US"/>
          <w14:ligatures w14:val="standardContextual"/>
        </w:rPr>
        <w:t xml:space="preserve"> </w:t>
      </w:r>
      <w:r w:rsidR="00A20205" w:rsidRPr="00843145">
        <w:rPr>
          <w:rFonts w:eastAsia="Aptos"/>
          <w:kern w:val="2"/>
          <w:szCs w:val="22"/>
          <w:lang w:eastAsia="en-US"/>
          <w14:ligatures w14:val="standardContextual"/>
        </w:rPr>
        <w:t>position</w:t>
      </w:r>
      <w:r w:rsidR="00392B8C" w:rsidRPr="00843145">
        <w:rPr>
          <w:rFonts w:eastAsia="Aptos"/>
          <w:kern w:val="2"/>
          <w:szCs w:val="22"/>
          <w:lang w:eastAsia="en-US"/>
          <w14:ligatures w14:val="standardContextual"/>
        </w:rPr>
        <w:t xml:space="preserve"> in</w:t>
      </w:r>
      <w:r w:rsidR="00A20205" w:rsidRPr="00843145">
        <w:rPr>
          <w:rFonts w:eastAsia="Aptos"/>
          <w:kern w:val="2"/>
          <w:szCs w:val="22"/>
          <w:lang w:eastAsia="en-US"/>
          <w14:ligatures w14:val="standardContextual"/>
        </w:rPr>
        <w:t xml:space="preserve"> the category ‘Luxury’</w:t>
      </w:r>
      <w:r w:rsidR="00392B8C" w:rsidRPr="00843145">
        <w:rPr>
          <w:rFonts w:eastAsia="Aptos"/>
          <w:kern w:val="2"/>
          <w:szCs w:val="22"/>
          <w:lang w:eastAsia="en-US"/>
          <w14:ligatures w14:val="standardContextual"/>
        </w:rPr>
        <w:t>.</w:t>
      </w:r>
      <w:bookmarkEnd w:id="28"/>
    </w:p>
    <w:p w14:paraId="137164BF" w14:textId="77777777" w:rsidR="004C1CE2" w:rsidRPr="00843145" w:rsidRDefault="004C1CE2" w:rsidP="00BF468D">
      <w:pPr>
        <w:autoSpaceDE w:val="0"/>
        <w:autoSpaceDN w:val="0"/>
        <w:adjustRightInd w:val="0"/>
        <w:jc w:val="both"/>
        <w:rPr>
          <w:rFonts w:eastAsia="Aptos"/>
          <w:color w:val="000000"/>
          <w:szCs w:val="22"/>
          <w:lang w:eastAsia="en-US"/>
          <w14:ligatures w14:val="standardContextual"/>
        </w:rPr>
      </w:pPr>
    </w:p>
    <w:p w14:paraId="7358FF04" w14:textId="684D84F3" w:rsidR="004C1CE2" w:rsidRPr="00843145" w:rsidRDefault="004C1CE2" w:rsidP="003E7321">
      <w:pPr>
        <w:autoSpaceDE w:val="0"/>
        <w:autoSpaceDN w:val="0"/>
        <w:adjustRightInd w:val="0"/>
        <w:jc w:val="both"/>
        <w:rPr>
          <w:rFonts w:eastAsia="Aptos"/>
          <w:color w:val="000000"/>
          <w:szCs w:val="22"/>
          <w:lang w:eastAsia="en-US"/>
          <w14:ligatures w14:val="standardContextual"/>
        </w:rPr>
      </w:pPr>
      <w:r w:rsidRPr="00843145">
        <w:rPr>
          <w:rFonts w:eastAsia="Aptos"/>
          <w:color w:val="000000"/>
          <w:szCs w:val="22"/>
          <w:lang w:eastAsia="en-US"/>
          <w14:ligatures w14:val="standardContextual"/>
        </w:rPr>
        <w:t xml:space="preserve">Exhibit 11: </w:t>
      </w:r>
      <w:r w:rsidR="00B205A5" w:rsidRPr="00843145">
        <w:rPr>
          <w:rFonts w:eastAsia="Aptos"/>
          <w:kern w:val="2"/>
          <w:szCs w:val="22"/>
          <w:lang w:eastAsia="en-US"/>
          <w14:ligatures w14:val="standardContextual"/>
        </w:rPr>
        <w:t xml:space="preserve">A Wikipedia publication, describing </w:t>
      </w:r>
      <w:r w:rsidR="00BF468D" w:rsidRPr="00843145">
        <w:rPr>
          <w:rFonts w:eastAsia="Aptos"/>
          <w:color w:val="000000"/>
          <w:szCs w:val="22"/>
          <w:lang w:eastAsia="en-US"/>
          <w14:ligatures w14:val="standardContextual"/>
        </w:rPr>
        <w:t xml:space="preserve">Kantar </w:t>
      </w:r>
      <w:r w:rsidR="00B205A5" w:rsidRPr="00843145">
        <w:rPr>
          <w:rFonts w:eastAsia="Aptos"/>
          <w:color w:val="000000"/>
          <w:szCs w:val="22"/>
          <w:lang w:eastAsia="en-US"/>
          <w14:ligatures w14:val="standardContextual"/>
        </w:rPr>
        <w:t>Group Ltd. as an international market research company based in London, England.</w:t>
      </w:r>
    </w:p>
    <w:p w14:paraId="1BD49C6A" w14:textId="6E490970" w:rsidR="00B205A5" w:rsidRPr="00843145" w:rsidRDefault="00B205A5" w:rsidP="00BF468D">
      <w:pPr>
        <w:autoSpaceDE w:val="0"/>
        <w:autoSpaceDN w:val="0"/>
        <w:adjustRightInd w:val="0"/>
        <w:jc w:val="both"/>
        <w:rPr>
          <w:rFonts w:eastAsia="Aptos"/>
          <w:color w:val="000000"/>
          <w:szCs w:val="22"/>
          <w:lang w:eastAsia="en-US"/>
          <w14:ligatures w14:val="standardContextual"/>
        </w:rPr>
      </w:pPr>
    </w:p>
    <w:p w14:paraId="593D74E3" w14:textId="1F5B58D0" w:rsidR="00BF468D" w:rsidRPr="00843145" w:rsidRDefault="004C1CE2" w:rsidP="00070289">
      <w:pPr>
        <w:autoSpaceDE w:val="0"/>
        <w:autoSpaceDN w:val="0"/>
        <w:adjustRightInd w:val="0"/>
        <w:jc w:val="both"/>
        <w:rPr>
          <w:rFonts w:eastAsia="Aptos"/>
          <w:kern w:val="2"/>
          <w:szCs w:val="22"/>
          <w:lang w:eastAsia="en-US"/>
          <w14:ligatures w14:val="standardContextual"/>
        </w:rPr>
      </w:pPr>
      <w:r w:rsidRPr="00843145">
        <w:rPr>
          <w:rFonts w:eastAsia="Aptos"/>
          <w:color w:val="000000"/>
          <w:szCs w:val="22"/>
          <w:lang w:eastAsia="en-US"/>
          <w14:ligatures w14:val="standardContextual"/>
        </w:rPr>
        <w:t xml:space="preserve">Exhibit 12: </w:t>
      </w:r>
      <w:r w:rsidR="00333971" w:rsidRPr="00843145">
        <w:rPr>
          <w:rFonts w:eastAsia="Aptos"/>
          <w:color w:val="000000"/>
          <w:szCs w:val="22"/>
          <w:lang w:eastAsia="en-US"/>
          <w14:ligatures w14:val="standardContextual"/>
        </w:rPr>
        <w:t>An undated</w:t>
      </w:r>
      <w:r w:rsidR="00DE6CA7" w:rsidRPr="00843145">
        <w:rPr>
          <w:rFonts w:eastAsia="Aptos"/>
          <w:color w:val="000000"/>
          <w:szCs w:val="22"/>
          <w:lang w:eastAsia="en-US"/>
          <w14:ligatures w14:val="standardContextual"/>
        </w:rPr>
        <w:t xml:space="preserve"> </w:t>
      </w:r>
      <w:r w:rsidR="00333971" w:rsidRPr="00843145">
        <w:rPr>
          <w:rFonts w:eastAsia="Aptos"/>
          <w:kern w:val="2"/>
          <w:szCs w:val="22"/>
          <w:lang w:eastAsia="en-US"/>
          <w14:ligatures w14:val="standardContextual"/>
        </w:rPr>
        <w:t xml:space="preserve">decision by </w:t>
      </w:r>
      <w:r w:rsidR="00DE6CA7" w:rsidRPr="00843145">
        <w:rPr>
          <w:rFonts w:eastAsia="Aptos"/>
          <w:color w:val="000000"/>
          <w:szCs w:val="22"/>
          <w:lang w:eastAsia="en-US"/>
          <w14:ligatures w14:val="standardContextual"/>
        </w:rPr>
        <w:t xml:space="preserve">the </w:t>
      </w:r>
      <w:r w:rsidR="00DE6CA7" w:rsidRPr="00843145">
        <w:rPr>
          <w:rFonts w:eastAsia="Aptos"/>
          <w:kern w:val="2"/>
          <w:szCs w:val="22"/>
          <w:lang w:eastAsia="en-US"/>
          <w14:ligatures w14:val="standardContextual"/>
        </w:rPr>
        <w:t>Italian</w:t>
      </w:r>
      <w:r w:rsidR="002A4A68" w:rsidRPr="00843145">
        <w:rPr>
          <w:rFonts w:eastAsia="Aptos"/>
          <w:kern w:val="2"/>
          <w:szCs w:val="22"/>
          <w:lang w:eastAsia="en-US"/>
          <w14:ligatures w14:val="standardContextual"/>
        </w:rPr>
        <w:t xml:space="preserve"> Patent and</w:t>
      </w:r>
      <w:r w:rsidR="00DE6CA7" w:rsidRPr="00843145">
        <w:rPr>
          <w:rFonts w:eastAsia="Aptos"/>
          <w:kern w:val="2"/>
          <w:szCs w:val="22"/>
          <w:lang w:eastAsia="en-US"/>
          <w14:ligatures w14:val="standardContextual"/>
        </w:rPr>
        <w:t xml:space="preserve"> Trademark Office in opposition</w:t>
      </w:r>
      <w:r w:rsidR="00FE662B" w:rsidRPr="00843145">
        <w:rPr>
          <w:rFonts w:eastAsia="Aptos"/>
          <w:kern w:val="2"/>
          <w:szCs w:val="22"/>
          <w:lang w:eastAsia="en-US"/>
          <w14:ligatures w14:val="standardContextual"/>
        </w:rPr>
        <w:t>, filed on 25/</w:t>
      </w:r>
      <w:r w:rsidR="00882CD2" w:rsidRPr="00843145">
        <w:rPr>
          <w:rFonts w:eastAsia="Aptos"/>
          <w:kern w:val="2"/>
          <w:szCs w:val="22"/>
          <w:lang w:eastAsia="en-US"/>
          <w14:ligatures w14:val="standardContextual"/>
        </w:rPr>
        <w:t>0</w:t>
      </w:r>
      <w:r w:rsidR="00FE662B" w:rsidRPr="00843145">
        <w:rPr>
          <w:rFonts w:eastAsia="Aptos"/>
          <w:kern w:val="2"/>
          <w:szCs w:val="22"/>
          <w:lang w:eastAsia="en-US"/>
          <w14:ligatures w14:val="standardContextual"/>
        </w:rPr>
        <w:t xml:space="preserve">2/2019, based on </w:t>
      </w:r>
      <w:r w:rsidR="00333971" w:rsidRPr="00843145">
        <w:rPr>
          <w:rFonts w:eastAsia="Aptos"/>
          <w:kern w:val="2"/>
          <w:szCs w:val="22"/>
          <w:lang w:eastAsia="en-US"/>
          <w14:ligatures w14:val="standardContextual"/>
        </w:rPr>
        <w:t xml:space="preserve">‘FENDI’ earlier marks, </w:t>
      </w:r>
      <w:r w:rsidR="00070289" w:rsidRPr="00843145">
        <w:rPr>
          <w:rFonts w:eastAsia="Aptos"/>
          <w:kern w:val="2"/>
          <w:szCs w:val="22"/>
          <w:lang w:eastAsia="en-US"/>
          <w14:ligatures w14:val="standardContextual"/>
        </w:rPr>
        <w:t>which says the following: ‘</w:t>
      </w:r>
      <w:r w:rsidR="00BF468D" w:rsidRPr="00843145">
        <w:rPr>
          <w:rFonts w:eastAsia="Aptos"/>
          <w:szCs w:val="22"/>
          <w:lang w:eastAsia="en-US"/>
          <w14:ligatures w14:val="standardContextual"/>
        </w:rPr>
        <w:t>In this case, the opponent has validly claimed the enhanced distinctiveness of the rights operated as well as their fame producing copious documentation demonstrating its reputation and continuing use on the relevant market, also through investment activities in cultural sponsorships. It is also considered appropriate to acknowledge that such notoriety / celebrity constitutes a well-known fact freely assessable by the "judge" especially if supported, as in the case at hand, by substantial evidence</w:t>
      </w:r>
      <w:r w:rsidR="00070289" w:rsidRPr="00843145">
        <w:rPr>
          <w:rFonts w:eastAsia="Aptos"/>
          <w:szCs w:val="22"/>
          <w:lang w:eastAsia="en-US"/>
          <w14:ligatures w14:val="standardContextual"/>
        </w:rPr>
        <w:t>’</w:t>
      </w:r>
      <w:r w:rsidR="00070289" w:rsidRPr="00843145">
        <w:rPr>
          <w:rFonts w:eastAsia="Aptos"/>
          <w:i/>
          <w:iCs/>
          <w:szCs w:val="22"/>
          <w:lang w:eastAsia="en-US"/>
          <w14:ligatures w14:val="standardContextual"/>
        </w:rPr>
        <w:t>.</w:t>
      </w:r>
      <w:r w:rsidR="00070289" w:rsidRPr="00843145">
        <w:rPr>
          <w:rFonts w:eastAsia="Aptos"/>
          <w:szCs w:val="22"/>
          <w:lang w:eastAsia="en-US"/>
          <w14:ligatures w14:val="standardContextual"/>
        </w:rPr>
        <w:t xml:space="preserve"> However, there is no </w:t>
      </w:r>
      <w:r w:rsidR="008E6E29" w:rsidRPr="00843145">
        <w:rPr>
          <w:rFonts w:eastAsia="Aptos"/>
          <w:szCs w:val="22"/>
          <w:lang w:eastAsia="en-US"/>
          <w14:ligatures w14:val="standardContextual"/>
        </w:rPr>
        <w:t xml:space="preserve">description/listing of the evidence submitted. The decision also states that ‘FENDI’ is a fantasy word, which resonates with the finding </w:t>
      </w:r>
      <w:r w:rsidR="00223788" w:rsidRPr="00843145">
        <w:rPr>
          <w:rFonts w:eastAsia="Aptos"/>
          <w:szCs w:val="22"/>
          <w:lang w:eastAsia="en-US"/>
          <w14:ligatures w14:val="standardContextual"/>
        </w:rPr>
        <w:t xml:space="preserve">of the Opposition Division in section c) </w:t>
      </w:r>
      <w:r w:rsidR="003C3AFA" w:rsidRPr="00843145">
        <w:rPr>
          <w:rFonts w:eastAsia="Aptos"/>
          <w:szCs w:val="22"/>
          <w:lang w:eastAsia="en-US"/>
          <w14:ligatures w14:val="standardContextual"/>
        </w:rPr>
        <w:t xml:space="preserve">of the present </w:t>
      </w:r>
      <w:r w:rsidR="007007DF" w:rsidRPr="00843145">
        <w:rPr>
          <w:rFonts w:eastAsia="Aptos"/>
          <w:szCs w:val="22"/>
          <w:lang w:eastAsia="en-US"/>
          <w14:ligatures w14:val="standardContextual"/>
        </w:rPr>
        <w:t>decision.</w:t>
      </w:r>
    </w:p>
    <w:p w14:paraId="64140E24" w14:textId="77777777" w:rsidR="00106774" w:rsidRPr="00843145" w:rsidRDefault="00106774">
      <w:pPr>
        <w:jc w:val="both"/>
      </w:pPr>
    </w:p>
    <w:p w14:paraId="754CD929" w14:textId="6AA020F4" w:rsidR="007F0EF1" w:rsidRPr="00843145" w:rsidRDefault="0019494D">
      <w:pPr>
        <w:jc w:val="both"/>
        <w:rPr>
          <w:rFonts w:eastAsia="Calibri"/>
          <w:szCs w:val="22"/>
          <w:lang w:eastAsia="en-US"/>
        </w:rPr>
      </w:pPr>
      <w:bookmarkStart w:id="29" w:name="chk-paragraph-10-3-2-3_nodeId-631984906"/>
      <w:bookmarkEnd w:id="25"/>
      <w:r w:rsidRPr="00843145">
        <w:rPr>
          <w:rFonts w:eastAsia="Calibri"/>
          <w:szCs w:val="22"/>
          <w:lang w:eastAsia="en-US"/>
        </w:rPr>
        <w:t>The evidence submitted, assessed in its entirety</w:t>
      </w:r>
      <w:r w:rsidR="00A335D5" w:rsidRPr="00843145">
        <w:rPr>
          <w:rFonts w:eastAsia="Calibri"/>
          <w:szCs w:val="22"/>
          <w:lang w:eastAsia="en-US"/>
        </w:rPr>
        <w:t>,</w:t>
      </w:r>
      <w:r w:rsidR="00F44045" w:rsidRPr="00843145">
        <w:rPr>
          <w:rFonts w:eastAsia="Calibri"/>
          <w:szCs w:val="22"/>
          <w:lang w:eastAsia="en-US"/>
        </w:rPr>
        <w:t xml:space="preserve"> does not provide any indication of the extent of recognition</w:t>
      </w:r>
      <w:r w:rsidR="002B3255" w:rsidRPr="00843145">
        <w:rPr>
          <w:rFonts w:eastAsia="Calibri"/>
          <w:szCs w:val="22"/>
          <w:lang w:eastAsia="en-US"/>
        </w:rPr>
        <w:t xml:space="preserve"> of the earlier mark</w:t>
      </w:r>
      <w:r w:rsidR="00F44045" w:rsidRPr="00843145">
        <w:rPr>
          <w:rFonts w:eastAsia="Calibri"/>
          <w:szCs w:val="22"/>
          <w:lang w:eastAsia="en-US"/>
        </w:rPr>
        <w:t xml:space="preserve"> by the relevant public</w:t>
      </w:r>
      <w:r w:rsidR="00A335D5" w:rsidRPr="00843145">
        <w:rPr>
          <w:rFonts w:eastAsia="Calibri"/>
          <w:szCs w:val="22"/>
          <w:lang w:eastAsia="en-US"/>
        </w:rPr>
        <w:t xml:space="preserve"> in relation to the goods at issue</w:t>
      </w:r>
      <w:r w:rsidR="00F44045" w:rsidRPr="00843145">
        <w:rPr>
          <w:rFonts w:eastAsia="Calibri"/>
          <w:szCs w:val="22"/>
          <w:lang w:eastAsia="en-US"/>
        </w:rPr>
        <w:t>.</w:t>
      </w:r>
      <w:r w:rsidR="00A335D5" w:rsidRPr="00843145">
        <w:rPr>
          <w:rFonts w:eastAsia="Calibri"/>
          <w:szCs w:val="22"/>
          <w:lang w:eastAsia="en-US"/>
        </w:rPr>
        <w:t xml:space="preserve"> Indeed, ‘FENDI’ was ranked amongst the</w:t>
      </w:r>
      <w:r w:rsidR="00CC09FA" w:rsidRPr="00843145">
        <w:rPr>
          <w:rFonts w:eastAsia="Calibri"/>
          <w:szCs w:val="22"/>
          <w:lang w:eastAsia="en-US"/>
        </w:rPr>
        <w:t xml:space="preserve"> ten m</w:t>
      </w:r>
      <w:r w:rsidR="00A335D5" w:rsidRPr="00843145">
        <w:rPr>
          <w:rFonts w:eastAsia="Calibri"/>
          <w:szCs w:val="22"/>
          <w:lang w:eastAsia="en-US"/>
        </w:rPr>
        <w:t xml:space="preserve">ost </w:t>
      </w:r>
      <w:r w:rsidR="00CC09FA" w:rsidRPr="00843145">
        <w:rPr>
          <w:rFonts w:eastAsia="Calibri"/>
          <w:szCs w:val="22"/>
          <w:lang w:eastAsia="en-US"/>
        </w:rPr>
        <w:t>v</w:t>
      </w:r>
      <w:r w:rsidR="00A335D5" w:rsidRPr="00843145">
        <w:rPr>
          <w:rFonts w:eastAsia="Calibri"/>
          <w:szCs w:val="22"/>
          <w:lang w:eastAsia="en-US"/>
        </w:rPr>
        <w:t xml:space="preserve">aluable Italian </w:t>
      </w:r>
      <w:r w:rsidR="00CC09FA" w:rsidRPr="00843145">
        <w:rPr>
          <w:rFonts w:eastAsia="Calibri"/>
          <w:szCs w:val="22"/>
          <w:lang w:eastAsia="en-US"/>
        </w:rPr>
        <w:t>b</w:t>
      </w:r>
      <w:r w:rsidR="00A335D5" w:rsidRPr="00843145">
        <w:rPr>
          <w:rFonts w:eastAsia="Calibri"/>
          <w:szCs w:val="22"/>
          <w:lang w:eastAsia="en-US"/>
        </w:rPr>
        <w:t>rands for 2021, 2022, 2023 and 2024</w:t>
      </w:r>
      <w:r w:rsidR="00CC09FA" w:rsidRPr="00843145">
        <w:rPr>
          <w:rFonts w:eastAsia="Calibri"/>
          <w:szCs w:val="22"/>
          <w:lang w:eastAsia="en-US"/>
        </w:rPr>
        <w:t xml:space="preserve">, however, </w:t>
      </w:r>
      <w:r w:rsidR="00861DAB" w:rsidRPr="00843145">
        <w:rPr>
          <w:rFonts w:eastAsia="Calibri"/>
          <w:szCs w:val="22"/>
          <w:lang w:eastAsia="en-US"/>
        </w:rPr>
        <w:t xml:space="preserve">in </w:t>
      </w:r>
      <w:r w:rsidR="00A335D5" w:rsidRPr="00843145">
        <w:rPr>
          <w:rFonts w:eastAsia="Calibri"/>
          <w:szCs w:val="22"/>
          <w:lang w:eastAsia="en-US"/>
        </w:rPr>
        <w:t>the category</w:t>
      </w:r>
      <w:r w:rsidR="00310ADB" w:rsidRPr="00843145">
        <w:rPr>
          <w:rFonts w:eastAsia="Calibri"/>
          <w:szCs w:val="22"/>
          <w:lang w:eastAsia="en-US"/>
        </w:rPr>
        <w:t xml:space="preserve"> </w:t>
      </w:r>
      <w:r w:rsidR="00A335D5" w:rsidRPr="00843145">
        <w:rPr>
          <w:rFonts w:eastAsia="Calibri"/>
          <w:szCs w:val="22"/>
          <w:lang w:eastAsia="en-US"/>
        </w:rPr>
        <w:t>‘Luxury’</w:t>
      </w:r>
      <w:r w:rsidR="00310ADB" w:rsidRPr="00843145">
        <w:rPr>
          <w:rFonts w:eastAsia="Calibri"/>
          <w:szCs w:val="22"/>
          <w:lang w:eastAsia="en-US"/>
        </w:rPr>
        <w:t xml:space="preserve">, </w:t>
      </w:r>
      <w:r w:rsidR="00861DAB" w:rsidRPr="00843145">
        <w:rPr>
          <w:rFonts w:eastAsia="Calibri"/>
          <w:szCs w:val="22"/>
          <w:lang w:eastAsia="en-US"/>
        </w:rPr>
        <w:t xml:space="preserve">which </w:t>
      </w:r>
      <w:proofErr w:type="gramStart"/>
      <w:r w:rsidR="00310ADB" w:rsidRPr="00843145">
        <w:rPr>
          <w:rFonts w:eastAsia="Calibri"/>
          <w:szCs w:val="22"/>
          <w:lang w:eastAsia="en-US"/>
        </w:rPr>
        <w:t>is</w:t>
      </w:r>
      <w:r w:rsidR="00861DAB" w:rsidRPr="00843145">
        <w:rPr>
          <w:rFonts w:eastAsia="Calibri"/>
          <w:szCs w:val="22"/>
          <w:lang w:eastAsia="en-US"/>
        </w:rPr>
        <w:t xml:space="preserve"> considered to be</w:t>
      </w:r>
      <w:proofErr w:type="gramEnd"/>
      <w:r w:rsidR="00310ADB" w:rsidRPr="00843145">
        <w:rPr>
          <w:rFonts w:eastAsia="Calibri"/>
          <w:szCs w:val="22"/>
          <w:lang w:eastAsia="en-US"/>
        </w:rPr>
        <w:t xml:space="preserve"> too vague </w:t>
      </w:r>
      <w:r w:rsidR="00621BDF" w:rsidRPr="00843145">
        <w:rPr>
          <w:rFonts w:eastAsia="Calibri"/>
          <w:szCs w:val="22"/>
          <w:lang w:eastAsia="en-US"/>
        </w:rPr>
        <w:t>for the Opposition Division to</w:t>
      </w:r>
      <w:r w:rsidR="00861DAB" w:rsidRPr="00843145">
        <w:rPr>
          <w:rFonts w:eastAsia="Calibri"/>
          <w:szCs w:val="22"/>
          <w:lang w:eastAsia="en-US"/>
        </w:rPr>
        <w:t xml:space="preserve"> determine the exact</w:t>
      </w:r>
      <w:r w:rsidR="00621BDF" w:rsidRPr="00843145">
        <w:rPr>
          <w:rFonts w:eastAsia="Calibri"/>
          <w:szCs w:val="22"/>
          <w:lang w:eastAsia="en-US"/>
        </w:rPr>
        <w:t xml:space="preserve"> scope of</w:t>
      </w:r>
      <w:r w:rsidR="00861DAB" w:rsidRPr="00843145">
        <w:rPr>
          <w:rFonts w:eastAsia="Calibri"/>
          <w:szCs w:val="22"/>
          <w:lang w:eastAsia="en-US"/>
        </w:rPr>
        <w:t xml:space="preserve"> goods in relation to </w:t>
      </w:r>
      <w:r w:rsidR="00621BDF" w:rsidRPr="00843145">
        <w:rPr>
          <w:rFonts w:eastAsia="Calibri"/>
          <w:szCs w:val="22"/>
          <w:lang w:eastAsia="en-US"/>
        </w:rPr>
        <w:t xml:space="preserve">which </w:t>
      </w:r>
      <w:r w:rsidR="00B05AFB" w:rsidRPr="00843145">
        <w:rPr>
          <w:rFonts w:eastAsia="Calibri"/>
          <w:szCs w:val="22"/>
          <w:lang w:eastAsia="en-US"/>
        </w:rPr>
        <w:t>the sign has been acknowledged</w:t>
      </w:r>
      <w:r w:rsidR="00A335D5" w:rsidRPr="00843145">
        <w:rPr>
          <w:rFonts w:eastAsia="Calibri"/>
          <w:szCs w:val="22"/>
          <w:lang w:eastAsia="en-US"/>
        </w:rPr>
        <w:t>.</w:t>
      </w:r>
      <w:r w:rsidR="002A1E3C" w:rsidRPr="00843145">
        <w:rPr>
          <w:rFonts w:eastAsia="Calibri"/>
          <w:szCs w:val="22"/>
          <w:lang w:eastAsia="en-US"/>
        </w:rPr>
        <w:t xml:space="preserve"> Moreover, there is no information regarding the method and circumstances under which the rankings were carried out.</w:t>
      </w:r>
    </w:p>
    <w:p w14:paraId="0353B6C0" w14:textId="77777777" w:rsidR="007F0EF1" w:rsidRPr="00843145" w:rsidRDefault="007F0EF1">
      <w:pPr>
        <w:jc w:val="both"/>
        <w:rPr>
          <w:rFonts w:eastAsia="Calibri"/>
          <w:szCs w:val="22"/>
          <w:lang w:eastAsia="en-US"/>
        </w:rPr>
      </w:pPr>
    </w:p>
    <w:p w14:paraId="68023C5B" w14:textId="7B919271" w:rsidR="003C2C74" w:rsidRPr="00843145" w:rsidRDefault="007F0EF1" w:rsidP="007F0EF1">
      <w:pPr>
        <w:jc w:val="both"/>
        <w:rPr>
          <w:rFonts w:eastAsia="Calibri"/>
          <w:szCs w:val="22"/>
          <w:lang w:val="en-IE" w:eastAsia="en-US"/>
        </w:rPr>
      </w:pPr>
      <w:r w:rsidRPr="00843145">
        <w:rPr>
          <w:rFonts w:eastAsia="Calibri"/>
          <w:szCs w:val="22"/>
          <w:lang w:eastAsia="en-US"/>
        </w:rPr>
        <w:t>The</w:t>
      </w:r>
      <w:r w:rsidR="00AB010C" w:rsidRPr="00843145">
        <w:rPr>
          <w:rFonts w:eastAsia="Calibri"/>
          <w:szCs w:val="22"/>
          <w:lang w:eastAsia="en-US"/>
        </w:rPr>
        <w:t xml:space="preserve"> </w:t>
      </w:r>
      <w:r w:rsidR="0047482D" w:rsidRPr="00843145">
        <w:rPr>
          <w:rFonts w:eastAsia="Calibri"/>
          <w:szCs w:val="22"/>
          <w:lang w:eastAsia="en-US"/>
        </w:rPr>
        <w:t>online</w:t>
      </w:r>
      <w:r w:rsidR="00AB010C" w:rsidRPr="00843145">
        <w:rPr>
          <w:rFonts w:eastAsia="Calibri"/>
          <w:szCs w:val="22"/>
          <w:lang w:eastAsia="en-US"/>
        </w:rPr>
        <w:t xml:space="preserve"> articles</w:t>
      </w:r>
      <w:r w:rsidRPr="00843145">
        <w:rPr>
          <w:rFonts w:eastAsia="Calibri"/>
          <w:szCs w:val="22"/>
          <w:lang w:eastAsia="en-US"/>
        </w:rPr>
        <w:t xml:space="preserve"> </w:t>
      </w:r>
      <w:r w:rsidRPr="00843145">
        <w:rPr>
          <w:rFonts w:eastAsia="SimSun"/>
          <w:szCs w:val="22"/>
          <w:lang w:eastAsia="en-US"/>
        </w:rPr>
        <w:t>show that</w:t>
      </w:r>
      <w:r w:rsidR="00AB010C" w:rsidRPr="00843145">
        <w:rPr>
          <w:rFonts w:eastAsia="SimSun"/>
          <w:szCs w:val="22"/>
          <w:lang w:eastAsia="en-US"/>
        </w:rPr>
        <w:t xml:space="preserve"> ‘FENDI’</w:t>
      </w:r>
      <w:r w:rsidR="0076734F" w:rsidRPr="00843145">
        <w:rPr>
          <w:rFonts w:eastAsia="SimSun"/>
          <w:szCs w:val="22"/>
          <w:lang w:eastAsia="en-US"/>
        </w:rPr>
        <w:t xml:space="preserve"> is a</w:t>
      </w:r>
      <w:r w:rsidRPr="00843145">
        <w:rPr>
          <w:rFonts w:eastAsia="SimSun"/>
          <w:szCs w:val="22"/>
          <w:lang w:eastAsia="en-US"/>
        </w:rPr>
        <w:t xml:space="preserve"> </w:t>
      </w:r>
      <w:r w:rsidR="0076734F" w:rsidRPr="00843145">
        <w:rPr>
          <w:rFonts w:eastAsia="SimSun"/>
          <w:szCs w:val="22"/>
          <w:lang w:eastAsia="en-US"/>
        </w:rPr>
        <w:t>fashion house</w:t>
      </w:r>
      <w:r w:rsidR="006A3552" w:rsidRPr="00843145">
        <w:rPr>
          <w:rFonts w:eastAsia="SimSun"/>
          <w:szCs w:val="22"/>
          <w:lang w:eastAsia="en-US"/>
        </w:rPr>
        <w:t xml:space="preserve">, and although </w:t>
      </w:r>
      <w:r w:rsidR="005B75BD" w:rsidRPr="00843145">
        <w:rPr>
          <w:rFonts w:eastAsia="SimSun"/>
          <w:szCs w:val="22"/>
          <w:lang w:eastAsia="en-US"/>
        </w:rPr>
        <w:t>one</w:t>
      </w:r>
      <w:r w:rsidR="006A3552" w:rsidRPr="00843145">
        <w:rPr>
          <w:rFonts w:eastAsia="SimSun"/>
          <w:szCs w:val="22"/>
          <w:lang w:eastAsia="en-US"/>
        </w:rPr>
        <w:t xml:space="preserve"> of them </w:t>
      </w:r>
      <w:r w:rsidR="005D33BA" w:rsidRPr="00843145">
        <w:rPr>
          <w:rFonts w:eastAsia="SimSun"/>
          <w:szCs w:val="22"/>
          <w:lang w:eastAsia="en-US"/>
        </w:rPr>
        <w:t>call</w:t>
      </w:r>
      <w:r w:rsidR="005B75BD" w:rsidRPr="00843145">
        <w:rPr>
          <w:rFonts w:eastAsia="SimSun"/>
          <w:szCs w:val="22"/>
          <w:lang w:eastAsia="en-US"/>
        </w:rPr>
        <w:t>s</w:t>
      </w:r>
      <w:r w:rsidR="0059044D" w:rsidRPr="00843145">
        <w:rPr>
          <w:rFonts w:eastAsia="SimSun"/>
          <w:szCs w:val="22"/>
          <w:lang w:eastAsia="en-US"/>
        </w:rPr>
        <w:t xml:space="preserve"> it ‘iconic’, </w:t>
      </w:r>
      <w:r w:rsidR="005D33BA" w:rsidRPr="00843145">
        <w:rPr>
          <w:rFonts w:eastAsia="SimSun"/>
          <w:szCs w:val="22"/>
          <w:lang w:eastAsia="en-US"/>
        </w:rPr>
        <w:t xml:space="preserve">these </w:t>
      </w:r>
      <w:r w:rsidRPr="00843145">
        <w:rPr>
          <w:rFonts w:eastAsia="SimSun"/>
          <w:szCs w:val="22"/>
          <w:lang w:eastAsia="en-US"/>
        </w:rPr>
        <w:t>are just 1</w:t>
      </w:r>
      <w:r w:rsidR="00C24498" w:rsidRPr="00843145">
        <w:rPr>
          <w:rFonts w:eastAsia="SimSun"/>
          <w:szCs w:val="22"/>
          <w:lang w:eastAsia="en-US"/>
        </w:rPr>
        <w:t>1</w:t>
      </w:r>
      <w:r w:rsidRPr="00843145">
        <w:rPr>
          <w:rFonts w:eastAsia="SimSun"/>
          <w:szCs w:val="22"/>
          <w:lang w:eastAsia="en-US"/>
        </w:rPr>
        <w:t xml:space="preserve"> </w:t>
      </w:r>
      <w:r w:rsidR="005B75BD" w:rsidRPr="00843145">
        <w:rPr>
          <w:rFonts w:eastAsia="SimSun"/>
          <w:szCs w:val="22"/>
          <w:lang w:eastAsia="en-US"/>
        </w:rPr>
        <w:t xml:space="preserve">publications </w:t>
      </w:r>
      <w:r w:rsidR="009D2735" w:rsidRPr="00843145">
        <w:rPr>
          <w:rFonts w:eastAsia="SimSun"/>
          <w:szCs w:val="22"/>
          <w:lang w:eastAsia="en-US"/>
        </w:rPr>
        <w:t xml:space="preserve">and cover a relatively long period of time (2013 – 2023). Moreover, </w:t>
      </w:r>
      <w:r w:rsidR="005619DB" w:rsidRPr="00843145">
        <w:rPr>
          <w:rFonts w:eastAsia="SimSun"/>
          <w:szCs w:val="22"/>
          <w:lang w:eastAsia="en-US"/>
        </w:rPr>
        <w:t>two</w:t>
      </w:r>
      <w:r w:rsidR="005D33BA" w:rsidRPr="00843145">
        <w:rPr>
          <w:rFonts w:eastAsia="SimSun"/>
          <w:szCs w:val="22"/>
          <w:lang w:eastAsia="en-US"/>
        </w:rPr>
        <w:t xml:space="preserve"> of </w:t>
      </w:r>
      <w:r w:rsidR="009D2735" w:rsidRPr="00843145">
        <w:rPr>
          <w:rFonts w:eastAsia="SimSun"/>
          <w:szCs w:val="22"/>
          <w:lang w:eastAsia="en-US"/>
        </w:rPr>
        <w:t>the</w:t>
      </w:r>
      <w:r w:rsidR="005F6EB4" w:rsidRPr="00843145">
        <w:rPr>
          <w:rFonts w:eastAsia="SimSun"/>
          <w:szCs w:val="22"/>
          <w:lang w:eastAsia="en-US"/>
        </w:rPr>
        <w:t xml:space="preserve">se </w:t>
      </w:r>
      <w:r w:rsidR="005B75BD" w:rsidRPr="00843145">
        <w:rPr>
          <w:rFonts w:eastAsia="SimSun"/>
          <w:szCs w:val="22"/>
          <w:lang w:eastAsia="en-US"/>
        </w:rPr>
        <w:t xml:space="preserve">articles </w:t>
      </w:r>
      <w:r w:rsidR="005D33BA" w:rsidRPr="00843145">
        <w:rPr>
          <w:rFonts w:eastAsia="SimSun"/>
          <w:szCs w:val="22"/>
          <w:lang w:eastAsia="en-US"/>
        </w:rPr>
        <w:t>are undated</w:t>
      </w:r>
      <w:r w:rsidR="005619DB" w:rsidRPr="00843145">
        <w:rPr>
          <w:rFonts w:eastAsia="SimSun"/>
          <w:szCs w:val="22"/>
          <w:lang w:eastAsia="en-US"/>
        </w:rPr>
        <w:t xml:space="preserve"> and one </w:t>
      </w:r>
      <w:r w:rsidR="00FF7E23" w:rsidRPr="00843145">
        <w:rPr>
          <w:rFonts w:eastAsia="SimSun"/>
          <w:szCs w:val="22"/>
          <w:lang w:eastAsia="en-US"/>
        </w:rPr>
        <w:t xml:space="preserve">is from </w:t>
      </w:r>
      <w:r w:rsidR="003C2C74" w:rsidRPr="00843145">
        <w:rPr>
          <w:rFonts w:eastAsia="Calibri"/>
          <w:szCs w:val="22"/>
          <w:lang w:val="en-IE" w:eastAsia="en-US"/>
        </w:rPr>
        <w:t>Wikipedia</w:t>
      </w:r>
      <w:r w:rsidR="00FF7E23" w:rsidRPr="00843145">
        <w:rPr>
          <w:rFonts w:eastAsia="Calibri"/>
          <w:szCs w:val="22"/>
          <w:lang w:val="en-IE" w:eastAsia="en-US"/>
        </w:rPr>
        <w:t>, which</w:t>
      </w:r>
      <w:r w:rsidR="003C2C74" w:rsidRPr="00843145">
        <w:rPr>
          <w:rFonts w:eastAsia="Calibri"/>
          <w:szCs w:val="22"/>
          <w:lang w:val="en-IE" w:eastAsia="en-US"/>
        </w:rPr>
        <w:t xml:space="preserve"> lacks certainty as a source of information, since it is drawn from a collective encyclopaedia established on the internet, the content of which may be amended at any time and, in certain cases, by any visitor, even anonymously (09/04/2014, T</w:t>
      </w:r>
      <w:r w:rsidR="003C2C74" w:rsidRPr="00843145">
        <w:rPr>
          <w:rFonts w:ascii="Cambria Math" w:eastAsia="Calibri" w:hAnsi="Cambria Math" w:cs="Cambria Math"/>
          <w:szCs w:val="22"/>
          <w:lang w:val="en-IE" w:eastAsia="en-US"/>
        </w:rPr>
        <w:t>‑</w:t>
      </w:r>
      <w:r w:rsidR="003C2C74" w:rsidRPr="00843145">
        <w:rPr>
          <w:rFonts w:eastAsia="Calibri"/>
          <w:szCs w:val="22"/>
          <w:lang w:val="en-IE" w:eastAsia="en-US"/>
        </w:rPr>
        <w:t xml:space="preserve">501/12, </w:t>
      </w:r>
      <w:proofErr w:type="spellStart"/>
      <w:r w:rsidR="003C2C74" w:rsidRPr="00843145">
        <w:rPr>
          <w:rFonts w:eastAsia="Calibri"/>
          <w:szCs w:val="22"/>
          <w:lang w:val="en-IE" w:eastAsia="en-US"/>
        </w:rPr>
        <w:t>Octasa</w:t>
      </w:r>
      <w:proofErr w:type="spellEnd"/>
      <w:r w:rsidR="003C2C74" w:rsidRPr="00843145">
        <w:rPr>
          <w:rFonts w:eastAsia="Calibri"/>
          <w:szCs w:val="22"/>
          <w:lang w:val="en-IE" w:eastAsia="en-US"/>
        </w:rPr>
        <w:t>, EU:T:2014:194, §</w:t>
      </w:r>
      <w:r w:rsidR="00FF7E23" w:rsidRPr="00843145">
        <w:rPr>
          <w:rFonts w:eastAsia="Calibri"/>
          <w:szCs w:val="22"/>
          <w:lang w:val="en-IE" w:eastAsia="en-US"/>
        </w:rPr>
        <w:t> </w:t>
      </w:r>
      <w:r w:rsidR="003C2C74" w:rsidRPr="00843145">
        <w:rPr>
          <w:rFonts w:eastAsia="Calibri"/>
          <w:szCs w:val="22"/>
          <w:lang w:val="en-IE" w:eastAsia="en-US"/>
        </w:rPr>
        <w:t>48).</w:t>
      </w:r>
      <w:r w:rsidR="00D03070" w:rsidRPr="00843145">
        <w:rPr>
          <w:rFonts w:eastAsia="SimSun"/>
          <w:iCs/>
          <w:szCs w:val="22"/>
          <w:lang w:val="en-US" w:eastAsia="en-US"/>
        </w:rPr>
        <w:t xml:space="preserve"> Furthermore, </w:t>
      </w:r>
      <w:r w:rsidR="00D03070" w:rsidRPr="00843145">
        <w:rPr>
          <w:rFonts w:eastAsia="SimSun"/>
          <w:iCs/>
          <w:szCs w:val="22"/>
          <w:lang w:eastAsia="en-US"/>
        </w:rPr>
        <w:t>there is no supporting information regarding website visitors, pages viewed during website visits or duration of website visits.</w:t>
      </w:r>
    </w:p>
    <w:p w14:paraId="5B644962" w14:textId="77777777" w:rsidR="00853F87" w:rsidRPr="00843145" w:rsidRDefault="00853F87" w:rsidP="007F0EF1">
      <w:pPr>
        <w:jc w:val="both"/>
        <w:rPr>
          <w:rFonts w:eastAsia="Calibri"/>
          <w:szCs w:val="22"/>
          <w:lang w:val="en-IE" w:eastAsia="en-US"/>
        </w:rPr>
      </w:pPr>
    </w:p>
    <w:p w14:paraId="4E2ACA4F" w14:textId="0CE6D8F3" w:rsidR="00853F87" w:rsidRPr="00843145" w:rsidRDefault="00853F87" w:rsidP="007F0EF1">
      <w:pPr>
        <w:jc w:val="both"/>
        <w:rPr>
          <w:rFonts w:eastAsia="Calibri"/>
          <w:szCs w:val="22"/>
          <w:lang w:val="en-IE" w:eastAsia="en-US"/>
        </w:rPr>
      </w:pPr>
      <w:r w:rsidRPr="00843145">
        <w:rPr>
          <w:rFonts w:eastAsia="Calibri"/>
          <w:szCs w:val="22"/>
          <w:lang w:val="en-IE" w:eastAsia="en-US"/>
        </w:rPr>
        <w:t xml:space="preserve">The evidence, showing that ‘FENDI’ is a registered trade mark worldwide and a registered domain name do not </w:t>
      </w:r>
      <w:r w:rsidR="003507C2" w:rsidRPr="00843145">
        <w:rPr>
          <w:rFonts w:eastAsia="Calibri"/>
          <w:szCs w:val="22"/>
          <w:lang w:val="en-IE" w:eastAsia="en-US"/>
        </w:rPr>
        <w:t>demonstrate</w:t>
      </w:r>
      <w:r w:rsidR="00CB3895" w:rsidRPr="00843145">
        <w:rPr>
          <w:rFonts w:eastAsia="Calibri"/>
          <w:szCs w:val="22"/>
          <w:lang w:val="en-IE" w:eastAsia="en-US"/>
        </w:rPr>
        <w:t xml:space="preserve"> or add to the use or recognition of the sign.</w:t>
      </w:r>
    </w:p>
    <w:p w14:paraId="6D457A61" w14:textId="77777777" w:rsidR="00694BA5" w:rsidRPr="00843145" w:rsidRDefault="00694BA5" w:rsidP="007F0EF1">
      <w:pPr>
        <w:jc w:val="both"/>
        <w:rPr>
          <w:rFonts w:eastAsia="Calibri"/>
          <w:szCs w:val="22"/>
          <w:lang w:val="en-IE" w:eastAsia="en-US"/>
        </w:rPr>
      </w:pPr>
    </w:p>
    <w:p w14:paraId="0E0CBA16" w14:textId="6BDE78FF" w:rsidR="003806F3" w:rsidRPr="00843145" w:rsidRDefault="00694BA5" w:rsidP="003806F3">
      <w:pPr>
        <w:pStyle w:val="ui-droppable"/>
        <w:spacing w:before="0" w:beforeAutospacing="0" w:after="0" w:afterAutospacing="0"/>
        <w:jc w:val="both"/>
        <w:rPr>
          <w:rFonts w:ascii="Arial" w:hAnsi="Arial" w:cs="Arial"/>
          <w:color w:val="000000"/>
          <w:sz w:val="22"/>
          <w:szCs w:val="22"/>
        </w:rPr>
      </w:pPr>
      <w:r w:rsidRPr="00843145">
        <w:rPr>
          <w:rFonts w:ascii="Arial" w:eastAsia="Calibri" w:hAnsi="Arial" w:cs="Arial"/>
          <w:sz w:val="22"/>
          <w:szCs w:val="22"/>
          <w:lang w:val="en-IE" w:eastAsia="en-US"/>
        </w:rPr>
        <w:t xml:space="preserve">As for the decision of the Italian Patent and Trademark Office, </w:t>
      </w:r>
      <w:r w:rsidR="003806F3" w:rsidRPr="00843145">
        <w:rPr>
          <w:rStyle w:val="defaultparagraphfont"/>
          <w:rFonts w:ascii="Arial" w:eastAsiaTheme="majorEastAsia" w:hAnsi="Arial" w:cs="Arial"/>
          <w:color w:val="000000"/>
          <w:sz w:val="22"/>
          <w:szCs w:val="22"/>
        </w:rPr>
        <w:t xml:space="preserve">it must be noted that decisions of national courts and national offices at national level do not have a binding effect on the </w:t>
      </w:r>
      <w:r w:rsidR="003806F3" w:rsidRPr="00843145">
        <w:rPr>
          <w:rStyle w:val="defaultparagraphfont"/>
          <w:rFonts w:ascii="Arial" w:eastAsiaTheme="majorEastAsia" w:hAnsi="Arial" w:cs="Arial"/>
          <w:color w:val="000000"/>
          <w:sz w:val="22"/>
          <w:szCs w:val="22"/>
        </w:rPr>
        <w:lastRenderedPageBreak/>
        <w:t>Office since the European Union trade mark regime is an autonomous system, which applies independently of any national system (13/09/2010, T</w:t>
      </w:r>
      <w:r w:rsidR="003806F3" w:rsidRPr="00843145">
        <w:rPr>
          <w:rStyle w:val="defaultparagraphfont"/>
          <w:rFonts w:ascii="Arial" w:eastAsiaTheme="majorEastAsia" w:hAnsi="Arial" w:cs="Arial"/>
          <w:color w:val="000000"/>
          <w:sz w:val="22"/>
          <w:szCs w:val="22"/>
        </w:rPr>
        <w:noBreakHyphen/>
        <w:t xml:space="preserve">292/08, OFTEN / OLTEN et al., </w:t>
      </w:r>
      <w:proofErr w:type="gramStart"/>
      <w:r w:rsidR="003806F3" w:rsidRPr="00843145">
        <w:rPr>
          <w:rStyle w:val="defaultparagraphfont"/>
          <w:rFonts w:ascii="Arial" w:eastAsiaTheme="majorEastAsia" w:hAnsi="Arial" w:cs="Arial"/>
          <w:color w:val="000000"/>
          <w:sz w:val="22"/>
          <w:szCs w:val="22"/>
        </w:rPr>
        <w:t>EU:T</w:t>
      </w:r>
      <w:proofErr w:type="gramEnd"/>
      <w:r w:rsidR="003806F3" w:rsidRPr="00843145">
        <w:rPr>
          <w:rStyle w:val="defaultparagraphfont"/>
          <w:rFonts w:ascii="Arial" w:eastAsiaTheme="majorEastAsia" w:hAnsi="Arial" w:cs="Arial"/>
          <w:color w:val="000000"/>
          <w:sz w:val="22"/>
          <w:szCs w:val="22"/>
        </w:rPr>
        <w:t>:2010:399).</w:t>
      </w:r>
    </w:p>
    <w:p w14:paraId="194B9EE2" w14:textId="50D4BDAE" w:rsidR="003806F3" w:rsidRPr="00843145" w:rsidRDefault="003806F3" w:rsidP="003806F3">
      <w:pPr>
        <w:pStyle w:val="ui-droppable"/>
        <w:spacing w:before="0" w:beforeAutospacing="0" w:after="0" w:afterAutospacing="0"/>
        <w:jc w:val="both"/>
        <w:rPr>
          <w:rFonts w:ascii="Arial" w:hAnsi="Arial" w:cs="Arial"/>
          <w:color w:val="000000"/>
          <w:sz w:val="22"/>
          <w:szCs w:val="22"/>
        </w:rPr>
      </w:pPr>
    </w:p>
    <w:p w14:paraId="051B031F" w14:textId="77777777" w:rsidR="003806F3" w:rsidRPr="00843145" w:rsidRDefault="003806F3" w:rsidP="003806F3">
      <w:pPr>
        <w:pStyle w:val="ui-droppable"/>
        <w:spacing w:before="0" w:beforeAutospacing="0" w:after="0" w:afterAutospacing="0"/>
        <w:jc w:val="both"/>
        <w:rPr>
          <w:rFonts w:ascii="Arial" w:hAnsi="Arial" w:cs="Arial"/>
          <w:color w:val="000000"/>
          <w:sz w:val="22"/>
          <w:szCs w:val="22"/>
        </w:rPr>
      </w:pPr>
      <w:r w:rsidRPr="00843145">
        <w:rPr>
          <w:rStyle w:val="defaultparagraphfont"/>
          <w:rFonts w:ascii="Arial" w:eastAsiaTheme="majorEastAsia" w:hAnsi="Arial" w:cs="Arial"/>
          <w:color w:val="000000"/>
          <w:sz w:val="22"/>
          <w:szCs w:val="22"/>
        </w:rPr>
        <w:t>Even though previous national decisions are not binding, their reasoning and outcome should be duly considered, particularly when the decision has been taken in the Member State that is relevant to the proceedings.</w:t>
      </w:r>
    </w:p>
    <w:p w14:paraId="78536685" w14:textId="0C7DA8EF" w:rsidR="003806F3" w:rsidRPr="00843145" w:rsidRDefault="003806F3" w:rsidP="003806F3">
      <w:pPr>
        <w:pStyle w:val="ui-droppable"/>
        <w:spacing w:before="0" w:beforeAutospacing="0" w:after="0" w:afterAutospacing="0"/>
        <w:jc w:val="both"/>
        <w:rPr>
          <w:rFonts w:ascii="Arial" w:hAnsi="Arial" w:cs="Arial"/>
          <w:color w:val="000000"/>
          <w:sz w:val="22"/>
          <w:szCs w:val="22"/>
        </w:rPr>
      </w:pPr>
    </w:p>
    <w:p w14:paraId="1F2E2DB3" w14:textId="192381BA" w:rsidR="00C24637" w:rsidRPr="00843145" w:rsidRDefault="003806F3" w:rsidP="00C24637">
      <w:pPr>
        <w:pStyle w:val="ui-droppable"/>
        <w:spacing w:before="0" w:beforeAutospacing="0" w:after="0" w:afterAutospacing="0"/>
        <w:jc w:val="both"/>
        <w:rPr>
          <w:rFonts w:ascii="Arial" w:eastAsia="Calibri" w:hAnsi="Arial" w:cs="Arial"/>
          <w:sz w:val="22"/>
          <w:szCs w:val="22"/>
          <w:lang w:val="en-IE" w:eastAsia="en-US"/>
        </w:rPr>
      </w:pPr>
      <w:r w:rsidRPr="00843145">
        <w:rPr>
          <w:rStyle w:val="defaultparagraphfont"/>
          <w:rFonts w:ascii="Arial" w:eastAsiaTheme="majorEastAsia" w:hAnsi="Arial" w:cs="Arial"/>
          <w:color w:val="000000"/>
          <w:sz w:val="22"/>
          <w:szCs w:val="22"/>
        </w:rPr>
        <w:t>In the present case, the decision referred to by the</w:t>
      </w:r>
      <w:r w:rsidRPr="00843145">
        <w:rPr>
          <w:rStyle w:val="defaultparagraphfont"/>
          <w:rFonts w:eastAsiaTheme="majorEastAsia"/>
        </w:rPr>
        <w:t xml:space="preserve"> </w:t>
      </w:r>
      <w:r w:rsidRPr="00843145">
        <w:rPr>
          <w:rStyle w:val="defaultparagraphfont"/>
          <w:rFonts w:ascii="Arial" w:eastAsiaTheme="majorEastAsia" w:hAnsi="Arial" w:cs="Arial"/>
          <w:color w:val="000000"/>
          <w:sz w:val="22"/>
          <w:szCs w:val="22"/>
        </w:rPr>
        <w:t>opponent is not relevant to the present proceedings as</w:t>
      </w:r>
      <w:r w:rsidR="002F49B1" w:rsidRPr="00843145">
        <w:rPr>
          <w:rStyle w:val="defaultparagraphfont"/>
          <w:rFonts w:ascii="Arial" w:eastAsiaTheme="majorEastAsia" w:hAnsi="Arial" w:cs="Arial"/>
          <w:color w:val="000000"/>
          <w:sz w:val="22"/>
          <w:szCs w:val="22"/>
        </w:rPr>
        <w:t xml:space="preserve"> it</w:t>
      </w:r>
      <w:r w:rsidRPr="00843145">
        <w:rPr>
          <w:rStyle w:val="defaultparagraphfont"/>
          <w:rFonts w:ascii="Arial" w:eastAsiaTheme="majorEastAsia" w:hAnsi="Arial" w:cs="Arial"/>
          <w:color w:val="000000"/>
          <w:sz w:val="22"/>
          <w:szCs w:val="22"/>
        </w:rPr>
        <w:t xml:space="preserve"> </w:t>
      </w:r>
      <w:r w:rsidR="00A763C3" w:rsidRPr="00843145">
        <w:rPr>
          <w:rFonts w:ascii="Arial" w:eastAsia="Calibri" w:hAnsi="Arial" w:cs="Arial"/>
          <w:sz w:val="22"/>
          <w:szCs w:val="22"/>
          <w:lang w:val="en-IE" w:eastAsia="en-US"/>
        </w:rPr>
        <w:t xml:space="preserve">has been issued </w:t>
      </w:r>
      <w:proofErr w:type="gramStart"/>
      <w:r w:rsidR="00A763C3" w:rsidRPr="00843145">
        <w:rPr>
          <w:rFonts w:ascii="Arial" w:eastAsia="Calibri" w:hAnsi="Arial" w:cs="Arial"/>
          <w:sz w:val="22"/>
          <w:szCs w:val="22"/>
          <w:lang w:val="en-IE" w:eastAsia="en-US"/>
        </w:rPr>
        <w:t>on the basis of</w:t>
      </w:r>
      <w:proofErr w:type="gramEnd"/>
      <w:r w:rsidR="00A763C3" w:rsidRPr="00843145">
        <w:rPr>
          <w:rFonts w:ascii="Arial" w:eastAsia="Calibri" w:hAnsi="Arial" w:cs="Arial"/>
          <w:sz w:val="22"/>
          <w:szCs w:val="22"/>
          <w:lang w:val="en-IE" w:eastAsia="en-US"/>
        </w:rPr>
        <w:t xml:space="preserve"> evidence different than the one submitted in the present </w:t>
      </w:r>
      <w:r w:rsidR="002F49B1" w:rsidRPr="00843145">
        <w:rPr>
          <w:rFonts w:ascii="Arial" w:eastAsia="Calibri" w:hAnsi="Arial" w:cs="Arial"/>
          <w:sz w:val="22"/>
          <w:szCs w:val="22"/>
          <w:lang w:val="en-IE" w:eastAsia="en-US"/>
        </w:rPr>
        <w:t>proceedings. Although</w:t>
      </w:r>
      <w:r w:rsidR="00C24637" w:rsidRPr="00843145">
        <w:rPr>
          <w:rFonts w:ascii="Arial" w:eastAsia="Calibri" w:hAnsi="Arial" w:cs="Arial"/>
          <w:sz w:val="22"/>
          <w:szCs w:val="22"/>
          <w:lang w:val="en-IE" w:eastAsia="en-US"/>
        </w:rPr>
        <w:t xml:space="preserve"> it does not contain a description/listing of the evidence submitted</w:t>
      </w:r>
      <w:r w:rsidR="00D464BF" w:rsidRPr="00843145">
        <w:rPr>
          <w:rFonts w:ascii="Arial" w:eastAsia="Calibri" w:hAnsi="Arial" w:cs="Arial"/>
          <w:sz w:val="22"/>
          <w:szCs w:val="22"/>
          <w:lang w:val="en-IE" w:eastAsia="en-US"/>
        </w:rPr>
        <w:t xml:space="preserve">, from the reasoning provided </w:t>
      </w:r>
      <w:r w:rsidR="002F49B1" w:rsidRPr="00843145">
        <w:rPr>
          <w:rFonts w:ascii="Arial" w:eastAsia="Calibri" w:hAnsi="Arial" w:cs="Arial"/>
          <w:sz w:val="22"/>
          <w:szCs w:val="22"/>
          <w:lang w:val="en-IE" w:eastAsia="en-US"/>
        </w:rPr>
        <w:t>therein, such as</w:t>
      </w:r>
      <w:r w:rsidR="009A48B7" w:rsidRPr="00843145">
        <w:rPr>
          <w:rFonts w:ascii="Arial" w:eastAsia="Calibri" w:hAnsi="Arial" w:cs="Arial"/>
          <w:sz w:val="22"/>
          <w:szCs w:val="22"/>
          <w:lang w:val="en-IE" w:eastAsia="en-US"/>
        </w:rPr>
        <w:t xml:space="preserve"> </w:t>
      </w:r>
      <w:r w:rsidR="002F49B1" w:rsidRPr="00843145">
        <w:rPr>
          <w:rFonts w:ascii="Arial" w:eastAsia="Calibri" w:hAnsi="Arial" w:cs="Arial"/>
          <w:sz w:val="22"/>
          <w:szCs w:val="22"/>
          <w:lang w:val="en-IE" w:eastAsia="en-US"/>
        </w:rPr>
        <w:t xml:space="preserve">the </w:t>
      </w:r>
      <w:r w:rsidR="002A1E3C" w:rsidRPr="00843145">
        <w:rPr>
          <w:rFonts w:ascii="Arial" w:eastAsia="Calibri" w:hAnsi="Arial" w:cs="Arial"/>
          <w:sz w:val="22"/>
          <w:szCs w:val="22"/>
          <w:lang w:val="en-IE" w:eastAsia="en-US"/>
        </w:rPr>
        <w:t>‘</w:t>
      </w:r>
      <w:r w:rsidR="007F232F" w:rsidRPr="00843145">
        <w:rPr>
          <w:rFonts w:ascii="Arial" w:eastAsia="Calibri" w:hAnsi="Arial" w:cs="Arial"/>
          <w:sz w:val="22"/>
          <w:szCs w:val="22"/>
          <w:lang w:val="en-IE" w:eastAsia="en-US"/>
        </w:rPr>
        <w:t>investment activities in cultural sponsorships</w:t>
      </w:r>
      <w:r w:rsidR="002A1E3C" w:rsidRPr="00843145">
        <w:rPr>
          <w:rFonts w:ascii="Arial" w:eastAsia="Calibri" w:hAnsi="Arial" w:cs="Arial"/>
          <w:sz w:val="22"/>
          <w:szCs w:val="22"/>
          <w:lang w:val="en-IE" w:eastAsia="en-US"/>
        </w:rPr>
        <w:t>’</w:t>
      </w:r>
      <w:r w:rsidR="009A48B7" w:rsidRPr="00843145">
        <w:rPr>
          <w:rFonts w:ascii="Arial" w:eastAsia="Calibri" w:hAnsi="Arial" w:cs="Arial"/>
          <w:sz w:val="22"/>
          <w:szCs w:val="22"/>
          <w:lang w:val="en-IE" w:eastAsia="en-US"/>
        </w:rPr>
        <w:t xml:space="preserve">, it </w:t>
      </w:r>
      <w:r w:rsidR="007F232F" w:rsidRPr="00843145">
        <w:rPr>
          <w:rFonts w:ascii="Arial" w:eastAsia="Calibri" w:hAnsi="Arial" w:cs="Arial"/>
          <w:sz w:val="22"/>
          <w:szCs w:val="22"/>
          <w:lang w:val="en-IE" w:eastAsia="en-US"/>
        </w:rPr>
        <w:t>is</w:t>
      </w:r>
      <w:r w:rsidR="009A48B7" w:rsidRPr="00843145">
        <w:rPr>
          <w:rFonts w:ascii="Arial" w:eastAsia="Calibri" w:hAnsi="Arial" w:cs="Arial"/>
          <w:sz w:val="22"/>
          <w:szCs w:val="22"/>
          <w:lang w:val="en-IE" w:eastAsia="en-US"/>
        </w:rPr>
        <w:t xml:space="preserve"> obvious</w:t>
      </w:r>
      <w:r w:rsidR="007F232F" w:rsidRPr="00843145">
        <w:rPr>
          <w:rFonts w:ascii="Arial" w:eastAsia="Calibri" w:hAnsi="Arial" w:cs="Arial"/>
          <w:sz w:val="22"/>
          <w:szCs w:val="22"/>
          <w:lang w:val="en-IE" w:eastAsia="en-US"/>
        </w:rPr>
        <w:t xml:space="preserve"> that</w:t>
      </w:r>
      <w:r w:rsidR="009A48B7" w:rsidRPr="00843145">
        <w:rPr>
          <w:rFonts w:ascii="Arial" w:eastAsia="Calibri" w:hAnsi="Arial" w:cs="Arial"/>
          <w:sz w:val="22"/>
          <w:szCs w:val="22"/>
          <w:lang w:val="en-IE" w:eastAsia="en-US"/>
        </w:rPr>
        <w:t xml:space="preserve"> the evidence </w:t>
      </w:r>
      <w:r w:rsidR="002A1E3C" w:rsidRPr="00843145">
        <w:rPr>
          <w:rFonts w:ascii="Arial" w:eastAsia="Calibri" w:hAnsi="Arial" w:cs="Arial"/>
          <w:sz w:val="22"/>
          <w:szCs w:val="22"/>
          <w:lang w:val="en-IE" w:eastAsia="en-US"/>
        </w:rPr>
        <w:t>is</w:t>
      </w:r>
      <w:r w:rsidR="009A48B7" w:rsidRPr="00843145">
        <w:rPr>
          <w:rFonts w:ascii="Arial" w:eastAsia="Calibri" w:hAnsi="Arial" w:cs="Arial"/>
          <w:sz w:val="22"/>
          <w:szCs w:val="22"/>
          <w:lang w:val="en-IE" w:eastAsia="en-US"/>
        </w:rPr>
        <w:t xml:space="preserve"> not the same</w:t>
      </w:r>
      <w:r w:rsidR="007F232F" w:rsidRPr="00843145">
        <w:rPr>
          <w:rFonts w:ascii="Arial" w:eastAsia="Calibri" w:hAnsi="Arial" w:cs="Arial"/>
          <w:sz w:val="22"/>
          <w:szCs w:val="22"/>
          <w:lang w:val="en-IE" w:eastAsia="en-US"/>
        </w:rPr>
        <w:t xml:space="preserve">. Therefore, the </w:t>
      </w:r>
      <w:r w:rsidR="006E5888" w:rsidRPr="00843145">
        <w:rPr>
          <w:rFonts w:ascii="Arial" w:eastAsia="Calibri" w:hAnsi="Arial" w:cs="Arial"/>
          <w:sz w:val="22"/>
          <w:szCs w:val="22"/>
          <w:lang w:val="en-IE" w:eastAsia="en-US"/>
        </w:rPr>
        <w:t>previous decision concerns factual circumstances that are different from the present case and no analogies can be drawn between them and the matter at hand.</w:t>
      </w:r>
    </w:p>
    <w:p w14:paraId="205F1B0E" w14:textId="77777777" w:rsidR="003C2C74" w:rsidRPr="00843145" w:rsidRDefault="003C2C74" w:rsidP="007F0EF1">
      <w:pPr>
        <w:jc w:val="both"/>
        <w:rPr>
          <w:rFonts w:eastAsia="SimSun"/>
          <w:szCs w:val="22"/>
          <w:lang w:eastAsia="en-US"/>
        </w:rPr>
      </w:pPr>
    </w:p>
    <w:p w14:paraId="24AC8649" w14:textId="767532FE" w:rsidR="00575F68" w:rsidRPr="00843145" w:rsidRDefault="004770A4" w:rsidP="002F603B">
      <w:pPr>
        <w:jc w:val="both"/>
        <w:rPr>
          <w:rFonts w:eastAsia="Calibri"/>
          <w:szCs w:val="22"/>
          <w:lang w:eastAsia="en-US"/>
        </w:rPr>
      </w:pPr>
      <w:r w:rsidRPr="00871A38">
        <w:rPr>
          <w:rFonts w:eastAsia="Calibri"/>
          <w:szCs w:val="22"/>
          <w:highlight w:val="yellow"/>
        </w:rPr>
        <w:t xml:space="preserve">Considering the evidence in its entirety, it </w:t>
      </w:r>
      <w:r w:rsidRPr="00871A38">
        <w:rPr>
          <w:rFonts w:eastAsia="SimSun"/>
          <w:szCs w:val="22"/>
          <w:highlight w:val="yellow"/>
          <w:lang w:eastAsia="en-US"/>
        </w:rPr>
        <w:t>is</w:t>
      </w:r>
      <w:r w:rsidR="007F0EF1" w:rsidRPr="00871A38">
        <w:rPr>
          <w:rFonts w:eastAsia="SimSun"/>
          <w:szCs w:val="22"/>
          <w:highlight w:val="yellow"/>
          <w:lang w:eastAsia="en-US"/>
        </w:rPr>
        <w:t xml:space="preserve"> </w:t>
      </w:r>
      <w:r w:rsidR="007F0EF1" w:rsidRPr="00871A38">
        <w:rPr>
          <w:rFonts w:eastAsia="Times New Roman"/>
          <w:szCs w:val="22"/>
          <w:highlight w:val="yellow"/>
        </w:rPr>
        <w:t>insufficient to allow the conclusion that the earlier mark</w:t>
      </w:r>
      <w:r w:rsidR="003A126D" w:rsidRPr="00871A38">
        <w:rPr>
          <w:highlight w:val="yellow"/>
        </w:rPr>
        <w:t xml:space="preserve"> </w:t>
      </w:r>
      <w:r w:rsidR="004375FE" w:rsidRPr="00871A38">
        <w:rPr>
          <w:color w:val="000000"/>
          <w:highlight w:val="yellow"/>
        </w:rPr>
        <w:t xml:space="preserve">acquired </w:t>
      </w:r>
      <w:r w:rsidR="00575F68" w:rsidRPr="00871A38">
        <w:rPr>
          <w:rFonts w:eastAsia="Calibri"/>
          <w:szCs w:val="22"/>
          <w:highlight w:val="yellow"/>
          <w:lang w:eastAsia="en-US"/>
        </w:rPr>
        <w:t>a reputation</w:t>
      </w:r>
      <w:r w:rsidR="007F0EF1" w:rsidRPr="00871A38">
        <w:rPr>
          <w:rFonts w:eastAsia="SimSun"/>
          <w:iCs/>
          <w:szCs w:val="22"/>
          <w:highlight w:val="yellow"/>
          <w:lang w:eastAsia="en-US"/>
        </w:rPr>
        <w:t>.</w:t>
      </w:r>
      <w:r w:rsidR="00D005AF" w:rsidRPr="00871A38">
        <w:rPr>
          <w:rFonts w:eastAsia="SimSun"/>
          <w:iCs/>
          <w:szCs w:val="22"/>
          <w:highlight w:val="yellow"/>
          <w:lang w:eastAsia="en-US"/>
        </w:rPr>
        <w:t xml:space="preserve"> T</w:t>
      </w:r>
      <w:r w:rsidR="007F0EF1" w:rsidRPr="00871A38">
        <w:rPr>
          <w:rFonts w:eastAsia="Times New Roman"/>
          <w:szCs w:val="22"/>
          <w:highlight w:val="yellow"/>
          <w:lang w:val="en-US" w:eastAsia="en-US"/>
        </w:rPr>
        <w:t xml:space="preserve">he opponent has failed to provide any further information and evidence which would allow a realistic assessment of the recognition of the earlier mark by a </w:t>
      </w:r>
      <w:r w:rsidR="007F0EF1" w:rsidRPr="00871A38">
        <w:rPr>
          <w:rFonts w:eastAsia="Times New Roman"/>
          <w:szCs w:val="22"/>
          <w:highlight w:val="yellow"/>
          <w:lang w:eastAsia="en-US"/>
        </w:rPr>
        <w:t>significant part of the public</w:t>
      </w:r>
      <w:r w:rsidR="007F0EF1" w:rsidRPr="00871A38">
        <w:rPr>
          <w:rFonts w:eastAsia="Times New Roman"/>
          <w:szCs w:val="22"/>
          <w:highlight w:val="yellow"/>
          <w:lang w:val="en-US" w:eastAsia="en-US"/>
        </w:rPr>
        <w:t xml:space="preserve">, </w:t>
      </w:r>
      <w:r w:rsidR="002F603B" w:rsidRPr="00871A38">
        <w:rPr>
          <w:rFonts w:eastAsia="Calibri"/>
          <w:szCs w:val="22"/>
          <w:highlight w:val="yellow"/>
          <w:lang w:eastAsia="en-US"/>
        </w:rPr>
        <w:t>which could have given more conclusive weight to the evidence submitted.</w:t>
      </w:r>
      <w:r w:rsidR="00D005AF" w:rsidRPr="00871A38">
        <w:rPr>
          <w:color w:val="000000"/>
          <w:highlight w:val="yellow"/>
        </w:rPr>
        <w:t xml:space="preserve"> The evidence does not indicate the sales volumes, the market share of the </w:t>
      </w:r>
      <w:proofErr w:type="gramStart"/>
      <w:r w:rsidR="00D005AF" w:rsidRPr="00871A38">
        <w:rPr>
          <w:color w:val="000000"/>
          <w:highlight w:val="yellow"/>
        </w:rPr>
        <w:t>trade mark</w:t>
      </w:r>
      <w:proofErr w:type="gramEnd"/>
      <w:r w:rsidR="00D005AF" w:rsidRPr="00871A38">
        <w:rPr>
          <w:color w:val="000000"/>
          <w:highlight w:val="yellow"/>
        </w:rPr>
        <w:t xml:space="preserve"> or the extent to which the </w:t>
      </w:r>
      <w:proofErr w:type="gramStart"/>
      <w:r w:rsidR="00D005AF" w:rsidRPr="00871A38">
        <w:rPr>
          <w:color w:val="000000"/>
          <w:highlight w:val="yellow"/>
        </w:rPr>
        <w:t>trade mark</w:t>
      </w:r>
      <w:proofErr w:type="gramEnd"/>
      <w:r w:rsidR="00D005AF" w:rsidRPr="00871A38">
        <w:rPr>
          <w:color w:val="000000"/>
          <w:highlight w:val="yellow"/>
        </w:rPr>
        <w:t xml:space="preserve"> ha</w:t>
      </w:r>
      <w:r w:rsidR="00A2148E" w:rsidRPr="00871A38">
        <w:rPr>
          <w:color w:val="000000"/>
          <w:highlight w:val="yellow"/>
        </w:rPr>
        <w:t>s</w:t>
      </w:r>
      <w:r w:rsidR="00D005AF" w:rsidRPr="00871A38">
        <w:rPr>
          <w:color w:val="000000"/>
          <w:highlight w:val="yellow"/>
        </w:rPr>
        <w:t xml:space="preserve"> been promoted. As a result, the evidence does not show the degree of recognition of the </w:t>
      </w:r>
      <w:proofErr w:type="gramStart"/>
      <w:r w:rsidR="00D005AF" w:rsidRPr="00871A38">
        <w:rPr>
          <w:color w:val="000000"/>
          <w:highlight w:val="yellow"/>
        </w:rPr>
        <w:t>trade mark</w:t>
      </w:r>
      <w:proofErr w:type="gramEnd"/>
      <w:r w:rsidR="00D005AF" w:rsidRPr="00871A38">
        <w:rPr>
          <w:color w:val="000000"/>
          <w:highlight w:val="yellow"/>
        </w:rPr>
        <w:t xml:space="preserve"> by the relevant public.</w:t>
      </w:r>
    </w:p>
    <w:p w14:paraId="231FB439" w14:textId="77777777" w:rsidR="0019494D" w:rsidRPr="00843145" w:rsidRDefault="0019494D">
      <w:pPr>
        <w:jc w:val="both"/>
        <w:rPr>
          <w:color w:val="000000"/>
        </w:rPr>
      </w:pPr>
    </w:p>
    <w:p w14:paraId="6EF678F2" w14:textId="789BC0B1" w:rsidR="00D72E13" w:rsidRPr="00843145" w:rsidRDefault="00943FA7">
      <w:pPr>
        <w:jc w:val="both"/>
      </w:pPr>
      <w:r w:rsidRPr="00843145">
        <w:rPr>
          <w:color w:val="000000"/>
        </w:rPr>
        <w:t xml:space="preserve">Under these circumstances, the Opposition Division concludes that the opponent failed to prove that its </w:t>
      </w:r>
      <w:proofErr w:type="gramStart"/>
      <w:r w:rsidRPr="00843145">
        <w:rPr>
          <w:color w:val="000000"/>
        </w:rPr>
        <w:t>trade mark</w:t>
      </w:r>
      <w:proofErr w:type="gramEnd"/>
      <w:r w:rsidRPr="00843145">
        <w:rPr>
          <w:color w:val="000000"/>
        </w:rPr>
        <w:t xml:space="preserve"> ha</w:t>
      </w:r>
      <w:r w:rsidR="00A2148E" w:rsidRPr="00843145">
        <w:rPr>
          <w:color w:val="000000"/>
        </w:rPr>
        <w:t>s</w:t>
      </w:r>
      <w:r w:rsidRPr="00843145">
        <w:rPr>
          <w:color w:val="000000"/>
        </w:rPr>
        <w:t xml:space="preserve"> a reputation.</w:t>
      </w:r>
    </w:p>
    <w:p w14:paraId="008AD4ED" w14:textId="5CC11170" w:rsidR="00D72E13" w:rsidRPr="00843145" w:rsidRDefault="00D72E13">
      <w:pPr>
        <w:jc w:val="both"/>
      </w:pPr>
    </w:p>
    <w:p w14:paraId="6917490F" w14:textId="70493B58" w:rsidR="00D72E13" w:rsidRPr="00843145" w:rsidRDefault="00943FA7">
      <w:pPr>
        <w:jc w:val="both"/>
      </w:pPr>
      <w:r w:rsidRPr="00843145">
        <w:rPr>
          <w:color w:val="000000"/>
        </w:rPr>
        <w:t xml:space="preserve">As seen above, it is a requirement for the opposition to be successful under Article 8(5) EUTMR that the earlier </w:t>
      </w:r>
      <w:proofErr w:type="gramStart"/>
      <w:r w:rsidRPr="00843145">
        <w:rPr>
          <w:color w:val="000000"/>
        </w:rPr>
        <w:t>trade mark</w:t>
      </w:r>
      <w:proofErr w:type="gramEnd"/>
      <w:r w:rsidRPr="00843145">
        <w:rPr>
          <w:color w:val="000000"/>
        </w:rPr>
        <w:t xml:space="preserve"> has a reputation. Since it has not been established that the earlier </w:t>
      </w:r>
      <w:proofErr w:type="gramStart"/>
      <w:r w:rsidRPr="00843145">
        <w:rPr>
          <w:color w:val="000000"/>
        </w:rPr>
        <w:t>trade mark</w:t>
      </w:r>
      <w:proofErr w:type="gramEnd"/>
      <w:r w:rsidRPr="00843145">
        <w:rPr>
          <w:color w:val="000000"/>
        </w:rPr>
        <w:t xml:space="preserve"> has a reputation, one of the necessary conditions contained in Article 8(5) EUTMR is not fulfilled, and the opposition must be rejected.</w:t>
      </w:r>
    </w:p>
    <w:p w14:paraId="3D5AB0CC" w14:textId="75C6E7A7" w:rsidR="00D72E13" w:rsidRPr="00843145" w:rsidRDefault="00D72E13">
      <w:pPr>
        <w:jc w:val="both"/>
      </w:pPr>
    </w:p>
    <w:p w14:paraId="5A50CE66" w14:textId="77777777" w:rsidR="00D72E13" w:rsidRPr="00843145" w:rsidRDefault="00943FA7" w:rsidP="00E66D7E">
      <w:pPr>
        <w:spacing w:before="120"/>
        <w:jc w:val="both"/>
      </w:pPr>
      <w:bookmarkStart w:id="30" w:name="chk-paragraph-14-2_nodeId-299558455"/>
      <w:bookmarkEnd w:id="29"/>
      <w:r w:rsidRPr="00843145">
        <w:rPr>
          <w:b/>
          <w:color w:val="000000"/>
        </w:rPr>
        <w:t>COSTS</w:t>
      </w:r>
    </w:p>
    <w:p w14:paraId="690B0A46" w14:textId="77D1F1BA" w:rsidR="00D72E13" w:rsidRPr="00843145" w:rsidRDefault="00D72E13">
      <w:pPr>
        <w:jc w:val="both"/>
      </w:pPr>
    </w:p>
    <w:p w14:paraId="67961CDC" w14:textId="7B2D75D1" w:rsidR="00D72E13" w:rsidRPr="00843145" w:rsidRDefault="00943FA7">
      <w:pPr>
        <w:jc w:val="both"/>
      </w:pPr>
      <w:r w:rsidRPr="00843145">
        <w:rPr>
          <w:color w:val="000000"/>
        </w:rPr>
        <w:t>According to Article 109(1) EUTMR, the losing party in opposition proceedings must bear the fees and costs incurred by the other party. According to Article 109(3) EUTMR, where each party succeeds on some heads and fails on others, or if reasons of equity so dictate, the Opposition Division will decide a different apportionment of costs.</w:t>
      </w:r>
    </w:p>
    <w:p w14:paraId="04DE0050" w14:textId="4C3360EF" w:rsidR="00D72E13" w:rsidRPr="00843145" w:rsidRDefault="00D72E13">
      <w:pPr>
        <w:jc w:val="both"/>
      </w:pPr>
    </w:p>
    <w:p w14:paraId="53BEAF1D" w14:textId="17CAA77C" w:rsidR="00D72E13" w:rsidRPr="00843145" w:rsidRDefault="00943FA7">
      <w:pPr>
        <w:jc w:val="both"/>
      </w:pPr>
      <w:r w:rsidRPr="00843145">
        <w:rPr>
          <w:color w:val="000000"/>
        </w:rPr>
        <w:t xml:space="preserve">Since the opposition is successful for only some of the contested goods and services, both parties have succeeded on some heads and failed on others. Consequently, each party </w:t>
      </w:r>
      <w:proofErr w:type="gramStart"/>
      <w:r w:rsidRPr="00843145">
        <w:rPr>
          <w:color w:val="000000"/>
        </w:rPr>
        <w:t>has to</w:t>
      </w:r>
      <w:proofErr w:type="gramEnd"/>
      <w:r w:rsidRPr="00843145">
        <w:rPr>
          <w:color w:val="000000"/>
        </w:rPr>
        <w:t xml:space="preserve"> bear its own costs.</w:t>
      </w:r>
    </w:p>
    <w:p w14:paraId="5550D243" w14:textId="5487F552" w:rsidR="00D72E13" w:rsidRPr="00843145" w:rsidRDefault="00D72E13">
      <w:pPr>
        <w:jc w:val="both"/>
      </w:pPr>
    </w:p>
    <w:p w14:paraId="189F2F4E" w14:textId="77777777" w:rsidR="00D72E13" w:rsidRPr="00843145" w:rsidRDefault="00943FA7">
      <w:pPr>
        <w:jc w:val="center"/>
      </w:pPr>
      <w:bookmarkStart w:id="31" w:name="rId8"/>
      <w:bookmarkStart w:id="32" w:name="chk-paragraph-15_nodeId-1949981362"/>
      <w:bookmarkEnd w:id="30"/>
      <w:r w:rsidRPr="00843145">
        <w:rPr>
          <w:noProof/>
        </w:rPr>
        <w:drawing>
          <wp:inline distT="0" distB="0" distL="0" distR="0" wp14:anchorId="628ED5A5" wp14:editId="1CA70305">
            <wp:extent cx="619125" cy="628650"/>
            <wp:effectExtent l="0" t="0" r="0" b="0"/>
            <wp:docPr id="1412408834" name="Picture 1412408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125" cy="628650"/>
                    </a:xfrm>
                    <a:prstGeom prst="rect">
                      <a:avLst/>
                    </a:prstGeom>
                  </pic:spPr>
                </pic:pic>
              </a:graphicData>
            </a:graphic>
          </wp:inline>
        </w:drawing>
      </w:r>
      <w:bookmarkEnd w:id="31"/>
    </w:p>
    <w:p w14:paraId="2DE68A72" w14:textId="7EDB2A3F" w:rsidR="00D72E13" w:rsidRPr="00843145" w:rsidRDefault="00D72E13">
      <w:pPr>
        <w:jc w:val="both"/>
      </w:pPr>
    </w:p>
    <w:p w14:paraId="0059F95B" w14:textId="38F09C76" w:rsidR="00D72E13" w:rsidRPr="00843145" w:rsidRDefault="00D72E13">
      <w:pPr>
        <w:jc w:val="both"/>
      </w:pPr>
    </w:p>
    <w:p w14:paraId="16BFC58B" w14:textId="77777777" w:rsidR="00D72E13" w:rsidRPr="00843145" w:rsidRDefault="00943FA7">
      <w:pPr>
        <w:jc w:val="center"/>
      </w:pPr>
      <w:r w:rsidRPr="00843145">
        <w:rPr>
          <w:b/>
          <w:color w:val="000000"/>
        </w:rPr>
        <w:t>The Opposition Division</w:t>
      </w:r>
    </w:p>
    <w:p w14:paraId="560A22CA" w14:textId="01AF322A" w:rsidR="00D72E13" w:rsidRPr="00843145" w:rsidRDefault="00D72E13">
      <w:pPr>
        <w:jc w:val="both"/>
      </w:pPr>
    </w:p>
    <w:p w14:paraId="5DE5778E" w14:textId="392419D3" w:rsidR="00D72E13" w:rsidRPr="00843145" w:rsidRDefault="00D72E13">
      <w:pPr>
        <w:jc w:val="both"/>
      </w:pPr>
    </w:p>
    <w:tbl>
      <w:tblPr>
        <w:tblW w:w="0" w:type="auto"/>
        <w:tblCellSpacing w:w="0" w:type="auto"/>
        <w:tblLook w:val="04A0" w:firstRow="1" w:lastRow="0" w:firstColumn="1" w:lastColumn="0" w:noHBand="0" w:noVBand="1"/>
      </w:tblPr>
      <w:tblGrid>
        <w:gridCol w:w="2905"/>
        <w:gridCol w:w="3040"/>
        <w:gridCol w:w="3082"/>
      </w:tblGrid>
      <w:tr w:rsidR="00D72E13" w:rsidRPr="00843145" w14:paraId="3E2975FE" w14:textId="77777777">
        <w:trPr>
          <w:trHeight w:val="30"/>
          <w:tblCellSpacing w:w="0" w:type="auto"/>
        </w:trPr>
        <w:tc>
          <w:tcPr>
            <w:tcW w:w="3779" w:type="dxa"/>
            <w:tcMar>
              <w:top w:w="15" w:type="dxa"/>
              <w:left w:w="15" w:type="dxa"/>
              <w:bottom w:w="15" w:type="dxa"/>
              <w:right w:w="15" w:type="dxa"/>
            </w:tcMar>
            <w:vAlign w:val="center"/>
          </w:tcPr>
          <w:p w14:paraId="7268D387" w14:textId="4B0B2CF1" w:rsidR="00D72E13" w:rsidRPr="00843145" w:rsidRDefault="007E6810">
            <w:pPr>
              <w:ind w:left="15"/>
              <w:jc w:val="center"/>
            </w:pPr>
            <w:bookmarkStart w:id="33" w:name="docx4j_tbl_0"/>
            <w:r w:rsidRPr="00843145">
              <w:rPr>
                <w:color w:val="000000"/>
              </w:rPr>
              <w:t>Holger Peter KUNZ</w:t>
            </w:r>
          </w:p>
        </w:tc>
        <w:tc>
          <w:tcPr>
            <w:tcW w:w="3780" w:type="dxa"/>
            <w:tcMar>
              <w:top w:w="15" w:type="dxa"/>
              <w:left w:w="15" w:type="dxa"/>
              <w:bottom w:w="15" w:type="dxa"/>
              <w:right w:w="15" w:type="dxa"/>
            </w:tcMar>
            <w:vAlign w:val="center"/>
          </w:tcPr>
          <w:p w14:paraId="3A87C3AD" w14:textId="77777777" w:rsidR="00D72E13" w:rsidRPr="00843145" w:rsidRDefault="00943FA7">
            <w:pPr>
              <w:ind w:left="15"/>
              <w:jc w:val="center"/>
            </w:pPr>
            <w:r w:rsidRPr="00843145">
              <w:rPr>
                <w:color w:val="000000"/>
              </w:rPr>
              <w:t>Lidiya NIKOLOVA</w:t>
            </w:r>
          </w:p>
        </w:tc>
        <w:tc>
          <w:tcPr>
            <w:tcW w:w="3780" w:type="dxa"/>
            <w:tcMar>
              <w:top w:w="15" w:type="dxa"/>
              <w:left w:w="15" w:type="dxa"/>
              <w:bottom w:w="15" w:type="dxa"/>
              <w:right w:w="15" w:type="dxa"/>
            </w:tcMar>
            <w:vAlign w:val="center"/>
          </w:tcPr>
          <w:p w14:paraId="6458CFD1" w14:textId="75C7F498" w:rsidR="00D72E13" w:rsidRPr="00843145" w:rsidRDefault="00300332">
            <w:pPr>
              <w:ind w:left="15"/>
              <w:jc w:val="center"/>
            </w:pPr>
            <w:r w:rsidRPr="00843145">
              <w:rPr>
                <w:color w:val="000000"/>
              </w:rPr>
              <w:t>Konstantinos MITROU</w:t>
            </w:r>
          </w:p>
        </w:tc>
      </w:tr>
      <w:bookmarkEnd w:id="33"/>
    </w:tbl>
    <w:p w14:paraId="57A06EC8" w14:textId="38FF7FB5" w:rsidR="00D72E13" w:rsidRPr="00843145" w:rsidRDefault="00D72E13">
      <w:pPr>
        <w:jc w:val="both"/>
      </w:pPr>
    </w:p>
    <w:p w14:paraId="450948B3" w14:textId="77777777" w:rsidR="00843145" w:rsidRPr="00843145" w:rsidRDefault="00943FA7">
      <w:pPr>
        <w:spacing w:after="269"/>
        <w:jc w:val="both"/>
        <w:rPr>
          <w:color w:val="000000"/>
        </w:rPr>
      </w:pPr>
      <w:bookmarkStart w:id="34" w:name="chk-paragraph-17_nodeId-1939635670"/>
      <w:bookmarkEnd w:id="32"/>
      <w:r w:rsidRPr="00843145">
        <w:rPr>
          <w:color w:val="000000"/>
        </w:rPr>
        <w:lastRenderedPageBreak/>
        <w:t>According to Article 67 EUTMR, any party adversely affected by this decision has a right to appeal against this decision. According to Article 68 EUTMR, notice of appeal must be filed in writing at the Office within two months of the date of notification of this decision. It must be filed in the language of the proceedings in which the decision subject to appeal was taken. Furthermore, a written statement of the grounds for appeal must be filed within four months of the same date. The notice of appeal will be deemed to have been filed only when the appeal fee of EUR 720 has been paid.</w:t>
      </w:r>
      <w:bookmarkEnd w:id="34"/>
    </w:p>
    <w:sectPr w:rsidR="00843145" w:rsidRPr="00843145">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DED2" w14:textId="77777777" w:rsidR="0034592C" w:rsidRDefault="0034592C">
      <w:r>
        <w:separator/>
      </w:r>
    </w:p>
  </w:endnote>
  <w:endnote w:type="continuationSeparator" w:id="0">
    <w:p w14:paraId="0ED25F49" w14:textId="77777777" w:rsidR="0034592C" w:rsidRDefault="0034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44A3" w14:textId="77777777" w:rsidR="00843145" w:rsidRDefault="008431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85A9" w14:textId="77777777" w:rsidR="00843145" w:rsidRDefault="0084314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3C44" w14:textId="77777777" w:rsidR="00843145" w:rsidRDefault="008431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E955" w14:textId="77777777" w:rsidR="0034592C" w:rsidRDefault="0034592C">
      <w:r>
        <w:separator/>
      </w:r>
    </w:p>
  </w:footnote>
  <w:footnote w:type="continuationSeparator" w:id="0">
    <w:p w14:paraId="5FFC0109" w14:textId="77777777" w:rsidR="0034592C" w:rsidRDefault="00345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EC58" w14:textId="77777777" w:rsidR="00843145" w:rsidRDefault="008431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1857" w14:textId="77777777" w:rsidR="00D72E13" w:rsidRDefault="00943FA7">
    <w:pPr>
      <w:pBdr>
        <w:bottom w:val="single" w:sz="6" w:space="1" w:color="595959"/>
      </w:pBdr>
      <w:tabs>
        <w:tab w:val="right" w:pos="9000"/>
      </w:tabs>
    </w:pPr>
    <w:r>
      <w:t xml:space="preserve">Decision on Opposition No </w:t>
    </w:r>
    <w:r>
      <w:rPr>
        <w:b/>
        <w:bCs/>
      </w:rPr>
      <w:t>B 3 227 351</w:t>
    </w:r>
    <w:r>
      <w:tab/>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5655" w14:textId="77777777" w:rsidR="00D72E13" w:rsidRDefault="00943FA7">
    <w:r>
      <w:rPr>
        <w:noProof/>
      </w:rPr>
      <w:drawing>
        <wp:inline distT="0" distB="0" distL="0" distR="0" wp14:anchorId="12A2B9E6" wp14:editId="07C261D5">
          <wp:extent cx="1587500" cy="432448"/>
          <wp:effectExtent l="0" t="0" r="0" b="0"/>
          <wp:docPr id="1"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1587500" cy="432448"/>
                  </a:xfrm>
                  <a:prstGeom prst="rect">
                    <a:avLst/>
                  </a:prstGeom>
                </pic:spPr>
              </pic:pic>
            </a:graphicData>
          </a:graphic>
        </wp:inline>
      </w:drawing>
    </w:r>
  </w:p>
  <w:p w14:paraId="4CECAF8E" w14:textId="77777777" w:rsidR="00D72E13" w:rsidRDefault="00943FA7">
    <w:pPr>
      <w:pBdr>
        <w:bottom w:val="single" w:sz="6" w:space="1" w:color="595959"/>
      </w:pBdr>
      <w:jc w:val="right"/>
    </w:pPr>
    <w:r>
      <w:rPr>
        <w:color w:val="595959"/>
        <w:sz w:val="18"/>
      </w:rPr>
      <w:t>OPPOSITION DIVISION</w:t>
    </w:r>
  </w:p>
  <w:p w14:paraId="2F17A8AA" w14:textId="77777777" w:rsidR="00D72E13" w:rsidRDefault="00D72E13">
    <w:pPr>
      <w:spacing w:before="40"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B27"/>
    <w:multiLevelType w:val="multilevel"/>
    <w:tmpl w:val="D748A1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548A5"/>
    <w:multiLevelType w:val="multilevel"/>
    <w:tmpl w:val="403488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114339"/>
    <w:multiLevelType w:val="multilevel"/>
    <w:tmpl w:val="28E687B2"/>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9500F"/>
    <w:multiLevelType w:val="hybridMultilevel"/>
    <w:tmpl w:val="156C17F6"/>
    <w:lvl w:ilvl="0" w:tplc="BDC8498A">
      <w:start w:val="1"/>
      <w:numFmt w:val="bullet"/>
      <w:lvlText w:val=""/>
      <w:lvlJc w:val="left"/>
      <w:pPr>
        <w:ind w:left="720" w:hanging="360"/>
      </w:pPr>
      <w:rPr>
        <w:rFonts w:ascii="Symbol" w:hAnsi="Symbol"/>
      </w:rPr>
    </w:lvl>
    <w:lvl w:ilvl="1" w:tplc="AC442C62">
      <w:start w:val="1"/>
      <w:numFmt w:val="bullet"/>
      <w:lvlText w:val=""/>
      <w:lvlJc w:val="left"/>
      <w:pPr>
        <w:ind w:left="720" w:hanging="360"/>
      </w:pPr>
      <w:rPr>
        <w:rFonts w:ascii="Symbol" w:hAnsi="Symbol"/>
      </w:rPr>
    </w:lvl>
    <w:lvl w:ilvl="2" w:tplc="1E866FBE">
      <w:start w:val="1"/>
      <w:numFmt w:val="bullet"/>
      <w:lvlText w:val=""/>
      <w:lvlJc w:val="left"/>
      <w:pPr>
        <w:ind w:left="720" w:hanging="360"/>
      </w:pPr>
      <w:rPr>
        <w:rFonts w:ascii="Symbol" w:hAnsi="Symbol"/>
      </w:rPr>
    </w:lvl>
    <w:lvl w:ilvl="3" w:tplc="4AD8BDF8">
      <w:start w:val="1"/>
      <w:numFmt w:val="bullet"/>
      <w:lvlText w:val=""/>
      <w:lvlJc w:val="left"/>
      <w:pPr>
        <w:ind w:left="720" w:hanging="360"/>
      </w:pPr>
      <w:rPr>
        <w:rFonts w:ascii="Symbol" w:hAnsi="Symbol"/>
      </w:rPr>
    </w:lvl>
    <w:lvl w:ilvl="4" w:tplc="47E46BB2">
      <w:start w:val="1"/>
      <w:numFmt w:val="bullet"/>
      <w:lvlText w:val=""/>
      <w:lvlJc w:val="left"/>
      <w:pPr>
        <w:ind w:left="720" w:hanging="360"/>
      </w:pPr>
      <w:rPr>
        <w:rFonts w:ascii="Symbol" w:hAnsi="Symbol"/>
      </w:rPr>
    </w:lvl>
    <w:lvl w:ilvl="5" w:tplc="1D22E960">
      <w:start w:val="1"/>
      <w:numFmt w:val="bullet"/>
      <w:lvlText w:val=""/>
      <w:lvlJc w:val="left"/>
      <w:pPr>
        <w:ind w:left="720" w:hanging="360"/>
      </w:pPr>
      <w:rPr>
        <w:rFonts w:ascii="Symbol" w:hAnsi="Symbol"/>
      </w:rPr>
    </w:lvl>
    <w:lvl w:ilvl="6" w:tplc="B65EDB1E">
      <w:start w:val="1"/>
      <w:numFmt w:val="bullet"/>
      <w:lvlText w:val=""/>
      <w:lvlJc w:val="left"/>
      <w:pPr>
        <w:ind w:left="720" w:hanging="360"/>
      </w:pPr>
      <w:rPr>
        <w:rFonts w:ascii="Symbol" w:hAnsi="Symbol"/>
      </w:rPr>
    </w:lvl>
    <w:lvl w:ilvl="7" w:tplc="99468150">
      <w:start w:val="1"/>
      <w:numFmt w:val="bullet"/>
      <w:lvlText w:val=""/>
      <w:lvlJc w:val="left"/>
      <w:pPr>
        <w:ind w:left="720" w:hanging="360"/>
      </w:pPr>
      <w:rPr>
        <w:rFonts w:ascii="Symbol" w:hAnsi="Symbol"/>
      </w:rPr>
    </w:lvl>
    <w:lvl w:ilvl="8" w:tplc="6DEC773A">
      <w:start w:val="1"/>
      <w:numFmt w:val="bullet"/>
      <w:lvlText w:val=""/>
      <w:lvlJc w:val="left"/>
      <w:pPr>
        <w:ind w:left="720" w:hanging="360"/>
      </w:pPr>
      <w:rPr>
        <w:rFonts w:ascii="Symbol" w:hAnsi="Symbol"/>
      </w:rPr>
    </w:lvl>
  </w:abstractNum>
  <w:abstractNum w:abstractNumId="5" w15:restartNumberingAfterBreak="0">
    <w:nsid w:val="59380FA2"/>
    <w:multiLevelType w:val="multilevel"/>
    <w:tmpl w:val="EDB034A8"/>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2F3150"/>
    <w:multiLevelType w:val="hybridMultilevel"/>
    <w:tmpl w:val="F404FFA4"/>
    <w:lvl w:ilvl="0" w:tplc="CB9EE7F4">
      <w:start w:val="1"/>
      <w:numFmt w:val="bullet"/>
      <w:lvlText w:val=""/>
      <w:lvlJc w:val="left"/>
      <w:pPr>
        <w:ind w:left="720" w:hanging="360"/>
      </w:pPr>
      <w:rPr>
        <w:rFonts w:ascii="Symbol" w:hAnsi="Symbol"/>
      </w:rPr>
    </w:lvl>
    <w:lvl w:ilvl="1" w:tplc="25404B18">
      <w:start w:val="1"/>
      <w:numFmt w:val="bullet"/>
      <w:lvlText w:val=""/>
      <w:lvlJc w:val="left"/>
      <w:pPr>
        <w:ind w:left="720" w:hanging="360"/>
      </w:pPr>
      <w:rPr>
        <w:rFonts w:ascii="Symbol" w:hAnsi="Symbol"/>
      </w:rPr>
    </w:lvl>
    <w:lvl w:ilvl="2" w:tplc="29785B2A">
      <w:start w:val="1"/>
      <w:numFmt w:val="bullet"/>
      <w:lvlText w:val=""/>
      <w:lvlJc w:val="left"/>
      <w:pPr>
        <w:ind w:left="720" w:hanging="360"/>
      </w:pPr>
      <w:rPr>
        <w:rFonts w:ascii="Symbol" w:hAnsi="Symbol"/>
      </w:rPr>
    </w:lvl>
    <w:lvl w:ilvl="3" w:tplc="AF0E32B0">
      <w:start w:val="1"/>
      <w:numFmt w:val="bullet"/>
      <w:lvlText w:val=""/>
      <w:lvlJc w:val="left"/>
      <w:pPr>
        <w:ind w:left="720" w:hanging="360"/>
      </w:pPr>
      <w:rPr>
        <w:rFonts w:ascii="Symbol" w:hAnsi="Symbol"/>
      </w:rPr>
    </w:lvl>
    <w:lvl w:ilvl="4" w:tplc="F8E86CBC">
      <w:start w:val="1"/>
      <w:numFmt w:val="bullet"/>
      <w:lvlText w:val=""/>
      <w:lvlJc w:val="left"/>
      <w:pPr>
        <w:ind w:left="720" w:hanging="360"/>
      </w:pPr>
      <w:rPr>
        <w:rFonts w:ascii="Symbol" w:hAnsi="Symbol"/>
      </w:rPr>
    </w:lvl>
    <w:lvl w:ilvl="5" w:tplc="F954C2A0">
      <w:start w:val="1"/>
      <w:numFmt w:val="bullet"/>
      <w:lvlText w:val=""/>
      <w:lvlJc w:val="left"/>
      <w:pPr>
        <w:ind w:left="720" w:hanging="360"/>
      </w:pPr>
      <w:rPr>
        <w:rFonts w:ascii="Symbol" w:hAnsi="Symbol"/>
      </w:rPr>
    </w:lvl>
    <w:lvl w:ilvl="6" w:tplc="25104F30">
      <w:start w:val="1"/>
      <w:numFmt w:val="bullet"/>
      <w:lvlText w:val=""/>
      <w:lvlJc w:val="left"/>
      <w:pPr>
        <w:ind w:left="720" w:hanging="360"/>
      </w:pPr>
      <w:rPr>
        <w:rFonts w:ascii="Symbol" w:hAnsi="Symbol"/>
      </w:rPr>
    </w:lvl>
    <w:lvl w:ilvl="7" w:tplc="57BAE9AC">
      <w:start w:val="1"/>
      <w:numFmt w:val="bullet"/>
      <w:lvlText w:val=""/>
      <w:lvlJc w:val="left"/>
      <w:pPr>
        <w:ind w:left="720" w:hanging="360"/>
      </w:pPr>
      <w:rPr>
        <w:rFonts w:ascii="Symbol" w:hAnsi="Symbol"/>
      </w:rPr>
    </w:lvl>
    <w:lvl w:ilvl="8" w:tplc="1B32C790">
      <w:start w:val="1"/>
      <w:numFmt w:val="bullet"/>
      <w:lvlText w:val=""/>
      <w:lvlJc w:val="left"/>
      <w:pPr>
        <w:ind w:left="720" w:hanging="360"/>
      </w:pPr>
      <w:rPr>
        <w:rFonts w:ascii="Symbol" w:hAnsi="Symbol"/>
      </w:rPr>
    </w:lvl>
  </w:abstractNum>
  <w:abstractNum w:abstractNumId="7" w15:restartNumberingAfterBreak="0">
    <w:nsid w:val="6A312593"/>
    <w:multiLevelType w:val="multilevel"/>
    <w:tmpl w:val="6610D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817983"/>
    <w:multiLevelType w:val="multilevel"/>
    <w:tmpl w:val="E8DA7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3544654">
    <w:abstractNumId w:val="9"/>
  </w:num>
  <w:num w:numId="2" w16cid:durableId="1388142035">
    <w:abstractNumId w:val="2"/>
  </w:num>
  <w:num w:numId="3" w16cid:durableId="1352874048">
    <w:abstractNumId w:val="8"/>
  </w:num>
  <w:num w:numId="4" w16cid:durableId="1193960078">
    <w:abstractNumId w:val="0"/>
  </w:num>
  <w:num w:numId="5" w16cid:durableId="1222868978">
    <w:abstractNumId w:val="5"/>
  </w:num>
  <w:num w:numId="6" w16cid:durableId="1423991722">
    <w:abstractNumId w:val="3"/>
  </w:num>
  <w:num w:numId="7" w16cid:durableId="1825317514">
    <w:abstractNumId w:val="1"/>
  </w:num>
  <w:num w:numId="8" w16cid:durableId="880674600">
    <w:abstractNumId w:val="7"/>
  </w:num>
  <w:num w:numId="9" w16cid:durableId="973489755">
    <w:abstractNumId w:val="6"/>
  </w:num>
  <w:num w:numId="10" w16cid:durableId="862326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13"/>
    <w:rsid w:val="00021C78"/>
    <w:rsid w:val="00064E7C"/>
    <w:rsid w:val="00065FF9"/>
    <w:rsid w:val="00070289"/>
    <w:rsid w:val="0008558F"/>
    <w:rsid w:val="00086708"/>
    <w:rsid w:val="000B2EF2"/>
    <w:rsid w:val="000B4DAD"/>
    <w:rsid w:val="000C6959"/>
    <w:rsid w:val="000E5073"/>
    <w:rsid w:val="000F3FE3"/>
    <w:rsid w:val="00106774"/>
    <w:rsid w:val="00106D20"/>
    <w:rsid w:val="001073C0"/>
    <w:rsid w:val="0011477A"/>
    <w:rsid w:val="00115516"/>
    <w:rsid w:val="001218DA"/>
    <w:rsid w:val="001355A3"/>
    <w:rsid w:val="001402C8"/>
    <w:rsid w:val="00180701"/>
    <w:rsid w:val="00182ECD"/>
    <w:rsid w:val="00192524"/>
    <w:rsid w:val="0019494D"/>
    <w:rsid w:val="001A426C"/>
    <w:rsid w:val="001D2635"/>
    <w:rsid w:val="001F1E49"/>
    <w:rsid w:val="00201C2B"/>
    <w:rsid w:val="0020624F"/>
    <w:rsid w:val="00223788"/>
    <w:rsid w:val="0025205A"/>
    <w:rsid w:val="00264816"/>
    <w:rsid w:val="00276764"/>
    <w:rsid w:val="00291B41"/>
    <w:rsid w:val="002A1E3C"/>
    <w:rsid w:val="002A3501"/>
    <w:rsid w:val="002A4A68"/>
    <w:rsid w:val="002B3255"/>
    <w:rsid w:val="002B4A66"/>
    <w:rsid w:val="002B50C8"/>
    <w:rsid w:val="002D58AD"/>
    <w:rsid w:val="002E201B"/>
    <w:rsid w:val="002F49B1"/>
    <w:rsid w:val="002F603B"/>
    <w:rsid w:val="00300332"/>
    <w:rsid w:val="00304AB9"/>
    <w:rsid w:val="00310ADB"/>
    <w:rsid w:val="00316169"/>
    <w:rsid w:val="00333971"/>
    <w:rsid w:val="003404F0"/>
    <w:rsid w:val="00343712"/>
    <w:rsid w:val="0034592C"/>
    <w:rsid w:val="00347150"/>
    <w:rsid w:val="003507C2"/>
    <w:rsid w:val="00350EFD"/>
    <w:rsid w:val="00363735"/>
    <w:rsid w:val="00363ADF"/>
    <w:rsid w:val="003806F3"/>
    <w:rsid w:val="00381C33"/>
    <w:rsid w:val="00392B8C"/>
    <w:rsid w:val="003A126D"/>
    <w:rsid w:val="003B09A9"/>
    <w:rsid w:val="003B7CEB"/>
    <w:rsid w:val="003C00E8"/>
    <w:rsid w:val="003C2C74"/>
    <w:rsid w:val="003C3AFA"/>
    <w:rsid w:val="003C79B2"/>
    <w:rsid w:val="003D7AEB"/>
    <w:rsid w:val="003E7321"/>
    <w:rsid w:val="00400227"/>
    <w:rsid w:val="004217A8"/>
    <w:rsid w:val="004255A1"/>
    <w:rsid w:val="00432C4B"/>
    <w:rsid w:val="0043654F"/>
    <w:rsid w:val="004375FE"/>
    <w:rsid w:val="0047482D"/>
    <w:rsid w:val="004770A4"/>
    <w:rsid w:val="00491D98"/>
    <w:rsid w:val="00493334"/>
    <w:rsid w:val="0049372E"/>
    <w:rsid w:val="0049384F"/>
    <w:rsid w:val="004B45C0"/>
    <w:rsid w:val="004C1483"/>
    <w:rsid w:val="004C1CE2"/>
    <w:rsid w:val="004D036B"/>
    <w:rsid w:val="004F53EC"/>
    <w:rsid w:val="00530C6A"/>
    <w:rsid w:val="005449E9"/>
    <w:rsid w:val="00545AD9"/>
    <w:rsid w:val="00560243"/>
    <w:rsid w:val="00560434"/>
    <w:rsid w:val="005619DB"/>
    <w:rsid w:val="00567014"/>
    <w:rsid w:val="00571E4F"/>
    <w:rsid w:val="00575F68"/>
    <w:rsid w:val="00583032"/>
    <w:rsid w:val="0059044D"/>
    <w:rsid w:val="005A7289"/>
    <w:rsid w:val="005B75BD"/>
    <w:rsid w:val="005C3C2B"/>
    <w:rsid w:val="005C725D"/>
    <w:rsid w:val="005D33BA"/>
    <w:rsid w:val="005D782B"/>
    <w:rsid w:val="005E078F"/>
    <w:rsid w:val="005F1A41"/>
    <w:rsid w:val="005F6413"/>
    <w:rsid w:val="005F6EB4"/>
    <w:rsid w:val="005F7841"/>
    <w:rsid w:val="00621BDF"/>
    <w:rsid w:val="0062450E"/>
    <w:rsid w:val="006266A8"/>
    <w:rsid w:val="0062686B"/>
    <w:rsid w:val="00636DA4"/>
    <w:rsid w:val="00640BA7"/>
    <w:rsid w:val="006422EB"/>
    <w:rsid w:val="006459C7"/>
    <w:rsid w:val="006544F6"/>
    <w:rsid w:val="0066116D"/>
    <w:rsid w:val="00665B4D"/>
    <w:rsid w:val="00665F22"/>
    <w:rsid w:val="00670913"/>
    <w:rsid w:val="006811A4"/>
    <w:rsid w:val="00686E16"/>
    <w:rsid w:val="0068749D"/>
    <w:rsid w:val="00694BA5"/>
    <w:rsid w:val="006A3552"/>
    <w:rsid w:val="006B4916"/>
    <w:rsid w:val="006C2793"/>
    <w:rsid w:val="006E1080"/>
    <w:rsid w:val="006E5888"/>
    <w:rsid w:val="006E5A0E"/>
    <w:rsid w:val="006F5F3C"/>
    <w:rsid w:val="007007DF"/>
    <w:rsid w:val="00703127"/>
    <w:rsid w:val="00721331"/>
    <w:rsid w:val="00727B9E"/>
    <w:rsid w:val="007331A1"/>
    <w:rsid w:val="0074317E"/>
    <w:rsid w:val="007464F5"/>
    <w:rsid w:val="0076734F"/>
    <w:rsid w:val="00774DA6"/>
    <w:rsid w:val="00781721"/>
    <w:rsid w:val="007A6021"/>
    <w:rsid w:val="007A6600"/>
    <w:rsid w:val="007A736B"/>
    <w:rsid w:val="007A762C"/>
    <w:rsid w:val="007B5813"/>
    <w:rsid w:val="007C61CE"/>
    <w:rsid w:val="007E3B7B"/>
    <w:rsid w:val="007E3DBF"/>
    <w:rsid w:val="007E6810"/>
    <w:rsid w:val="007F0EF1"/>
    <w:rsid w:val="007F232F"/>
    <w:rsid w:val="007F591D"/>
    <w:rsid w:val="00816AE9"/>
    <w:rsid w:val="00835685"/>
    <w:rsid w:val="008372AE"/>
    <w:rsid w:val="00843145"/>
    <w:rsid w:val="00850C1C"/>
    <w:rsid w:val="00853F87"/>
    <w:rsid w:val="00861DAB"/>
    <w:rsid w:val="00871A38"/>
    <w:rsid w:val="008729F0"/>
    <w:rsid w:val="00875FFE"/>
    <w:rsid w:val="00882CD2"/>
    <w:rsid w:val="0088664C"/>
    <w:rsid w:val="008B095C"/>
    <w:rsid w:val="008C00D5"/>
    <w:rsid w:val="008D46E9"/>
    <w:rsid w:val="008D59EF"/>
    <w:rsid w:val="008D65B5"/>
    <w:rsid w:val="008E6B11"/>
    <w:rsid w:val="008E6E29"/>
    <w:rsid w:val="00903835"/>
    <w:rsid w:val="009318BC"/>
    <w:rsid w:val="009362F8"/>
    <w:rsid w:val="00943FA7"/>
    <w:rsid w:val="009A48B7"/>
    <w:rsid w:val="009C0651"/>
    <w:rsid w:val="009D264F"/>
    <w:rsid w:val="009D2735"/>
    <w:rsid w:val="009D3B2E"/>
    <w:rsid w:val="009D6479"/>
    <w:rsid w:val="009E3813"/>
    <w:rsid w:val="009E6295"/>
    <w:rsid w:val="009F16DD"/>
    <w:rsid w:val="009F24C9"/>
    <w:rsid w:val="009F6F1F"/>
    <w:rsid w:val="00A022F3"/>
    <w:rsid w:val="00A20205"/>
    <w:rsid w:val="00A2148E"/>
    <w:rsid w:val="00A2576B"/>
    <w:rsid w:val="00A27D47"/>
    <w:rsid w:val="00A335D5"/>
    <w:rsid w:val="00A43CD9"/>
    <w:rsid w:val="00A54CF2"/>
    <w:rsid w:val="00A566A6"/>
    <w:rsid w:val="00A70EE6"/>
    <w:rsid w:val="00A763C3"/>
    <w:rsid w:val="00AA1841"/>
    <w:rsid w:val="00AB010C"/>
    <w:rsid w:val="00AF56F0"/>
    <w:rsid w:val="00AF7A22"/>
    <w:rsid w:val="00B05AFB"/>
    <w:rsid w:val="00B070DC"/>
    <w:rsid w:val="00B205A5"/>
    <w:rsid w:val="00B360B1"/>
    <w:rsid w:val="00B571C9"/>
    <w:rsid w:val="00B80B29"/>
    <w:rsid w:val="00BA7E62"/>
    <w:rsid w:val="00BB0EE5"/>
    <w:rsid w:val="00BB2EE2"/>
    <w:rsid w:val="00BC1ECF"/>
    <w:rsid w:val="00BE6B29"/>
    <w:rsid w:val="00BF468D"/>
    <w:rsid w:val="00BF6A08"/>
    <w:rsid w:val="00C24498"/>
    <w:rsid w:val="00C24637"/>
    <w:rsid w:val="00C31B6D"/>
    <w:rsid w:val="00C32D43"/>
    <w:rsid w:val="00C34610"/>
    <w:rsid w:val="00C66D3E"/>
    <w:rsid w:val="00C72A3F"/>
    <w:rsid w:val="00C81B58"/>
    <w:rsid w:val="00C86AA8"/>
    <w:rsid w:val="00C919C9"/>
    <w:rsid w:val="00C949CB"/>
    <w:rsid w:val="00CB3895"/>
    <w:rsid w:val="00CB6E54"/>
    <w:rsid w:val="00CC09FA"/>
    <w:rsid w:val="00CC2C87"/>
    <w:rsid w:val="00CD0199"/>
    <w:rsid w:val="00CD0703"/>
    <w:rsid w:val="00CD164C"/>
    <w:rsid w:val="00D005AF"/>
    <w:rsid w:val="00D03070"/>
    <w:rsid w:val="00D0615F"/>
    <w:rsid w:val="00D12C65"/>
    <w:rsid w:val="00D1736A"/>
    <w:rsid w:val="00D25684"/>
    <w:rsid w:val="00D42BE8"/>
    <w:rsid w:val="00D44195"/>
    <w:rsid w:val="00D464BF"/>
    <w:rsid w:val="00D5280A"/>
    <w:rsid w:val="00D72E13"/>
    <w:rsid w:val="00D807E4"/>
    <w:rsid w:val="00D81C04"/>
    <w:rsid w:val="00D92669"/>
    <w:rsid w:val="00DA1B33"/>
    <w:rsid w:val="00DC253C"/>
    <w:rsid w:val="00DC604C"/>
    <w:rsid w:val="00DD0BB5"/>
    <w:rsid w:val="00DD471F"/>
    <w:rsid w:val="00DE61DB"/>
    <w:rsid w:val="00DE6CA7"/>
    <w:rsid w:val="00DF253A"/>
    <w:rsid w:val="00DF2D45"/>
    <w:rsid w:val="00E050FE"/>
    <w:rsid w:val="00E15806"/>
    <w:rsid w:val="00E452F1"/>
    <w:rsid w:val="00E468B7"/>
    <w:rsid w:val="00E53A4D"/>
    <w:rsid w:val="00E5685F"/>
    <w:rsid w:val="00E66D7E"/>
    <w:rsid w:val="00E71DC9"/>
    <w:rsid w:val="00EA6227"/>
    <w:rsid w:val="00EB3840"/>
    <w:rsid w:val="00ED6723"/>
    <w:rsid w:val="00ED76F2"/>
    <w:rsid w:val="00EF06D7"/>
    <w:rsid w:val="00F06823"/>
    <w:rsid w:val="00F23ADA"/>
    <w:rsid w:val="00F33864"/>
    <w:rsid w:val="00F44045"/>
    <w:rsid w:val="00F45140"/>
    <w:rsid w:val="00F77CB1"/>
    <w:rsid w:val="00F818B8"/>
    <w:rsid w:val="00F81D16"/>
    <w:rsid w:val="00F910E4"/>
    <w:rsid w:val="00F92800"/>
    <w:rsid w:val="00FC2C8B"/>
    <w:rsid w:val="00FD0F8D"/>
    <w:rsid w:val="00FE4019"/>
    <w:rsid w:val="00FE4F70"/>
    <w:rsid w:val="00FE662B"/>
    <w:rsid w:val="00FE7A60"/>
    <w:rsid w:val="00FF4F8F"/>
    <w:rsid w:val="00FF7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C889"/>
  <w15:docId w15:val="{A97F76B3-70D6-437C-A3B2-6C8CD909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Titre1">
    <w:name w:val="heading 1"/>
    <w:basedOn w:val="Normal"/>
    <w:next w:val="Normal"/>
    <w:link w:val="Titre1C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re2">
    <w:name w:val="heading 2"/>
    <w:basedOn w:val="Normal"/>
    <w:next w:val="Normal"/>
    <w:link w:val="Titre2C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re4">
    <w:name w:val="heading 4"/>
    <w:basedOn w:val="Normal"/>
    <w:next w:val="Normal"/>
    <w:link w:val="Titre4C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style>
  <w:style w:type="character" w:customStyle="1" w:styleId="Titre1Car">
    <w:name w:val="Titre 1 Car"/>
    <w:basedOn w:val="Policepardfaut"/>
    <w:link w:val="Titre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re2Car">
    <w:name w:val="Titre 2 Car"/>
    <w:basedOn w:val="Policepardfaut"/>
    <w:link w:val="Titre2"/>
    <w:uiPriority w:val="9"/>
    <w:rsid w:val="00841CD9"/>
    <w:rPr>
      <w:rFonts w:asciiTheme="majorHAnsi" w:eastAsiaTheme="majorEastAsia" w:hAnsiTheme="majorHAnsi" w:cstheme="majorBidi"/>
      <w:b/>
      <w:bCs/>
      <w:color w:val="156082" w:themeColor="accent1"/>
      <w:sz w:val="26"/>
      <w:szCs w:val="26"/>
    </w:rPr>
  </w:style>
  <w:style w:type="character" w:customStyle="1" w:styleId="Titre3Car">
    <w:name w:val="Titre 3 Car"/>
    <w:basedOn w:val="Policepardfaut"/>
    <w:link w:val="Titre3"/>
    <w:uiPriority w:val="9"/>
    <w:rsid w:val="00841CD9"/>
    <w:rPr>
      <w:rFonts w:asciiTheme="majorHAnsi" w:eastAsiaTheme="majorEastAsia" w:hAnsiTheme="majorHAnsi" w:cstheme="majorBidi"/>
      <w:b/>
      <w:bCs/>
      <w:color w:val="156082" w:themeColor="accent1"/>
    </w:rPr>
  </w:style>
  <w:style w:type="character" w:customStyle="1" w:styleId="Titre4Car">
    <w:name w:val="Titre 4 Car"/>
    <w:basedOn w:val="Policepardfaut"/>
    <w:link w:val="Titre4"/>
    <w:uiPriority w:val="9"/>
    <w:rsid w:val="00841CD9"/>
    <w:rPr>
      <w:rFonts w:asciiTheme="majorHAnsi" w:eastAsiaTheme="majorEastAsia" w:hAnsiTheme="majorHAnsi" w:cstheme="majorBidi"/>
      <w:b/>
      <w:bCs/>
      <w:i/>
      <w:iCs/>
      <w:color w:val="156082" w:themeColor="accent1"/>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156082" w:themeColor="accent1"/>
      <w:spacing w:val="15"/>
      <w:sz w:val="24"/>
      <w:szCs w:val="24"/>
    </w:rPr>
  </w:style>
  <w:style w:type="paragraph" w:styleId="Titre">
    <w:name w:val="Title"/>
    <w:basedOn w:val="Normal"/>
    <w:next w:val="Normal"/>
    <w:link w:val="TitreC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ccentuation">
    <w:name w:val="Emphasis"/>
    <w:basedOn w:val="Policepardfaut"/>
    <w:uiPriority w:val="20"/>
    <w:qFormat/>
    <w:rsid w:val="00D1197D"/>
    <w:rPr>
      <w:i/>
      <w:iCs/>
    </w:rPr>
  </w:style>
  <w:style w:type="character" w:styleId="Lienhypertexte">
    <w:name w:val="Hyperlink"/>
    <w:basedOn w:val="Policepardfaut"/>
    <w:uiPriority w:val="99"/>
    <w:unhideWhenUsed/>
    <w:rPr>
      <w:color w:val="467886" w:themeColor="hyperlink"/>
      <w:u w:val="single"/>
    </w:r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rPr>
      <w:b/>
      <w:bCs/>
      <w:color w:val="156082" w:themeColor="accent1"/>
      <w:sz w:val="18"/>
      <w:szCs w:val="18"/>
    </w:rPr>
  </w:style>
  <w:style w:type="character" w:styleId="Marquedecommentaire">
    <w:name w:val="annotation reference"/>
    <w:basedOn w:val="Policepardfaut"/>
    <w:uiPriority w:val="99"/>
    <w:semiHidden/>
    <w:unhideWhenUsed/>
    <w:rsid w:val="004F53EC"/>
    <w:rPr>
      <w:sz w:val="16"/>
      <w:szCs w:val="16"/>
    </w:rPr>
  </w:style>
  <w:style w:type="paragraph" w:styleId="Commentaire">
    <w:name w:val="annotation text"/>
    <w:basedOn w:val="Normal"/>
    <w:link w:val="CommentaireCar"/>
    <w:uiPriority w:val="99"/>
    <w:unhideWhenUsed/>
    <w:rsid w:val="004F53EC"/>
    <w:rPr>
      <w:sz w:val="20"/>
    </w:rPr>
  </w:style>
  <w:style w:type="character" w:customStyle="1" w:styleId="CommentaireCar">
    <w:name w:val="Commentaire Car"/>
    <w:basedOn w:val="Policepardfaut"/>
    <w:link w:val="Commentaire"/>
    <w:uiPriority w:val="99"/>
    <w:rsid w:val="004F53EC"/>
    <w:rPr>
      <w:sz w:val="20"/>
    </w:rPr>
  </w:style>
  <w:style w:type="paragraph" w:styleId="Objetducommentaire">
    <w:name w:val="annotation subject"/>
    <w:basedOn w:val="Commentaire"/>
    <w:next w:val="Commentaire"/>
    <w:link w:val="ObjetducommentaireCar"/>
    <w:uiPriority w:val="99"/>
    <w:semiHidden/>
    <w:unhideWhenUsed/>
    <w:rsid w:val="004F53EC"/>
    <w:rPr>
      <w:b/>
      <w:bCs/>
    </w:rPr>
  </w:style>
  <w:style w:type="character" w:customStyle="1" w:styleId="ObjetducommentaireCar">
    <w:name w:val="Objet du commentaire Car"/>
    <w:basedOn w:val="CommentaireCar"/>
    <w:link w:val="Objetducommentaire"/>
    <w:uiPriority w:val="99"/>
    <w:semiHidden/>
    <w:rsid w:val="004F53EC"/>
    <w:rPr>
      <w:b/>
      <w:bCs/>
      <w:sz w:val="20"/>
    </w:rPr>
  </w:style>
  <w:style w:type="character" w:styleId="Mentionnonrsolue">
    <w:name w:val="Unresolved Mention"/>
    <w:basedOn w:val="Policepardfaut"/>
    <w:uiPriority w:val="99"/>
    <w:semiHidden/>
    <w:unhideWhenUsed/>
    <w:rsid w:val="009F16DD"/>
    <w:rPr>
      <w:color w:val="605E5C"/>
      <w:shd w:val="clear" w:color="auto" w:fill="E1DFDD"/>
    </w:rPr>
  </w:style>
  <w:style w:type="character" w:customStyle="1" w:styleId="defaultparagraphfont">
    <w:name w:val="defaultparagraphfont"/>
    <w:basedOn w:val="Policepardfaut"/>
    <w:rsid w:val="003B09A9"/>
  </w:style>
  <w:style w:type="paragraph" w:styleId="NormalWeb">
    <w:name w:val="Normal (Web)"/>
    <w:basedOn w:val="Normal"/>
    <w:uiPriority w:val="99"/>
    <w:unhideWhenUsed/>
    <w:rsid w:val="007A736B"/>
    <w:rPr>
      <w:rFonts w:ascii="Times New Roman" w:hAnsi="Times New Roman" w:cs="Times New Roman"/>
      <w:sz w:val="24"/>
      <w:szCs w:val="24"/>
    </w:rPr>
  </w:style>
  <w:style w:type="paragraph" w:customStyle="1" w:styleId="ui-droppable">
    <w:name w:val="ui-droppable"/>
    <w:basedOn w:val="Normal"/>
    <w:rsid w:val="003806F3"/>
    <w:pPr>
      <w:spacing w:before="100" w:beforeAutospacing="1" w:after="100" w:afterAutospacing="1"/>
    </w:pPr>
    <w:rPr>
      <w:rFonts w:ascii="Times New Roman" w:eastAsia="Times New Roman" w:hAnsi="Times New Roman" w:cs="Times New Roman"/>
      <w:sz w:val="24"/>
      <w:szCs w:val="24"/>
    </w:rPr>
  </w:style>
  <w:style w:type="character" w:customStyle="1" w:styleId="fr-class-highlighted">
    <w:name w:val="fr-class-highlighted"/>
    <w:basedOn w:val="Policepardfaut"/>
    <w:rsid w:val="003806F3"/>
  </w:style>
  <w:style w:type="paragraph" w:styleId="Rvision">
    <w:name w:val="Revision"/>
    <w:hidden/>
    <w:uiPriority w:val="99"/>
    <w:unhideWhenUsed/>
    <w:rsid w:val="002D58AD"/>
  </w:style>
  <w:style w:type="paragraph" w:styleId="Pieddepage">
    <w:name w:val="footer"/>
    <w:basedOn w:val="Normal"/>
    <w:link w:val="PieddepageCar"/>
    <w:uiPriority w:val="99"/>
    <w:unhideWhenUsed/>
    <w:rsid w:val="00843145"/>
    <w:pPr>
      <w:tabs>
        <w:tab w:val="center" w:pos="4513"/>
        <w:tab w:val="right" w:pos="9026"/>
      </w:tabs>
    </w:pPr>
  </w:style>
  <w:style w:type="character" w:customStyle="1" w:styleId="PieddepageCar">
    <w:name w:val="Pied de page Car"/>
    <w:basedOn w:val="Policepardfaut"/>
    <w:link w:val="Pieddepage"/>
    <w:uiPriority w:val="99"/>
    <w:rsid w:val="00843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1019">
      <w:bodyDiv w:val="1"/>
      <w:marLeft w:val="0"/>
      <w:marRight w:val="0"/>
      <w:marTop w:val="0"/>
      <w:marBottom w:val="0"/>
      <w:divBdr>
        <w:top w:val="none" w:sz="0" w:space="0" w:color="auto"/>
        <w:left w:val="none" w:sz="0" w:space="0" w:color="auto"/>
        <w:bottom w:val="none" w:sz="0" w:space="0" w:color="auto"/>
        <w:right w:val="none" w:sz="0" w:space="0" w:color="auto"/>
      </w:divBdr>
    </w:div>
    <w:div w:id="285738738">
      <w:bodyDiv w:val="1"/>
      <w:marLeft w:val="0"/>
      <w:marRight w:val="0"/>
      <w:marTop w:val="0"/>
      <w:marBottom w:val="0"/>
      <w:divBdr>
        <w:top w:val="none" w:sz="0" w:space="0" w:color="auto"/>
        <w:left w:val="none" w:sz="0" w:space="0" w:color="auto"/>
        <w:bottom w:val="none" w:sz="0" w:space="0" w:color="auto"/>
        <w:right w:val="none" w:sz="0" w:space="0" w:color="auto"/>
      </w:divBdr>
    </w:div>
    <w:div w:id="42303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ject xmlns="0e656187-b300-4fb0-8bf4-3a50f872073c" xsi:nil="true"/>
    <Document_x0020_Identification_x0020_Number xmlns="0e656187-b300-4fb0-8bf4-3a50f872073c">0160353385</Document_x0020_Identification_x0020_Number>
    <Description xmlns="0e656187-b300-4fb0-8bf4-3a50f87207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UIPO Document" ma:contentTypeID="0x01010049739F80AE8F422ABEBE2715ED2E1C97"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Subject" minOccurs="0"/>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Subject" ma:index="8" nillable="true" ma:displayName="Subject" ma:internalName="Subject">
      <xsd:simpleType>
        <xsd:restriction base="dms:Text">
</xsd:restriction>
      </xsd:simpleType>
    </xsd:element>
    <xsd:element name="Document_x0020_Identification_x0020_Number" ma:readOnly="true" ma:index="9" nillable="true" ma:displayName="Document Identification Number" ma:internalName="Document_x0020_Identification_x0020_Number">
      <xsd:simpleType>
        <xsd:restriction base="dms:Text">
</xsd:restriction>
      </xsd:simpleType>
    </xsd:element>
    <xsd:element name="Description" ma:index="10"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4387AE8-9AA8-47BB-BAE9-D75C31A3888F}">
  <ds:schemaRefs>
    <ds:schemaRef ds:uri="http://schemas.microsoft.com/sharepoint/v3/contenttype/forms"/>
  </ds:schemaRefs>
</ds:datastoreItem>
</file>

<file path=customXml/itemProps2.xml><?xml version="1.0" encoding="utf-8"?>
<ds:datastoreItem xmlns:ds="http://schemas.openxmlformats.org/officeDocument/2006/customXml" ds:itemID="{CC883B43-50F6-4CAD-BE7A-2C4F639240CC}">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6F9F639E-E0FD-4CAD-97EE-D93F36BB0E19}">
  <ds:schemaRefs>
    <ds:schemaRef ds:uri="http://schemas.openxmlformats.org/officeDocument/2006/bibliography"/>
  </ds:schemaRefs>
</ds:datastoreItem>
</file>

<file path=customXml/itemProps4.xml><?xml version="1.0" encoding="utf-8"?>
<ds:datastoreItem xmlns:ds="http://schemas.openxmlformats.org/officeDocument/2006/customXml" ds:itemID="{10B9A023-8377-45D5-A2CB-C519835A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5428</Words>
  <Characters>29858</Characters>
  <Application>Microsoft Office Word</Application>
  <DocSecurity>0</DocSecurity>
  <Lines>248</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B3227351-EN-FENDI CLUB.docx</vt:lpstr>
      <vt:lpstr>B3227351-EN-FENDI CLUB.docx</vt:lpstr>
    </vt:vector>
  </TitlesOfParts>
  <Company>EUIPO</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B3227351-EN-FENDI CLUB.docx</dc:title>
  <dc:creator>NIKOLOVA Lidiya</dc:creator>
  <cp:lastModifiedBy>Me Julie CURTO</cp:lastModifiedBy>
  <cp:revision>2</cp:revision>
  <dcterms:created xsi:type="dcterms:W3CDTF">2025-11-18T11:25:00Z</dcterms:created>
  <dcterms:modified xsi:type="dcterms:W3CDTF">2025-11-18T11:25:00Z</dcterms:modified>
</cp:coreProperties>
</file>